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19" w:rsidRPr="00AE46DC" w:rsidRDefault="00D74C1F">
      <w:pPr>
        <w:rPr>
          <w:b/>
          <w:sz w:val="28"/>
        </w:rPr>
      </w:pPr>
      <w:r w:rsidRPr="00D74C1F">
        <w:rPr>
          <w:rFonts w:ascii="Arial Black" w:hAnsi="Arial Black"/>
          <w:b/>
        </w:rPr>
        <w:t>Appendix E</w:t>
      </w:r>
      <w:r>
        <w:rPr>
          <w:b/>
          <w:sz w:val="28"/>
        </w:rPr>
        <w:t xml:space="preserve"> </w:t>
      </w:r>
      <w:r w:rsidR="00F01AFB">
        <w:rPr>
          <w:b/>
          <w:sz w:val="28"/>
        </w:rPr>
        <w:t>Additional Inputs</w:t>
      </w:r>
      <w:bookmarkStart w:id="0" w:name="_GoBack"/>
      <w:bookmarkEnd w:id="0"/>
    </w:p>
    <w:p w:rsidR="00AE46DC" w:rsidRPr="00B2184E" w:rsidRDefault="00AE46DC">
      <w:pPr>
        <w:rPr>
          <w:sz w:val="16"/>
        </w:rPr>
      </w:pPr>
    </w:p>
    <w:p w:rsidR="00744E21" w:rsidRPr="00F01AFB" w:rsidRDefault="00F01AFB" w:rsidP="00F01AFB">
      <w:pPr>
        <w:shd w:val="clear" w:color="auto" w:fill="FF0000"/>
        <w:rPr>
          <w:b/>
        </w:rPr>
      </w:pPr>
      <w:r w:rsidRPr="00F01AFB">
        <w:rPr>
          <w:b/>
        </w:rPr>
        <w:t>From the red group</w:t>
      </w:r>
    </w:p>
    <w:p w:rsidR="00F01AFB" w:rsidRPr="00F01AFB" w:rsidRDefault="00F01AFB" w:rsidP="00F01AFB">
      <w:pPr>
        <w:pStyle w:val="ListParagraph"/>
        <w:spacing w:before="80" w:after="80"/>
        <w:ind w:left="0"/>
        <w:rPr>
          <w:b/>
        </w:rPr>
      </w:pPr>
      <w:r w:rsidRPr="00F01AFB">
        <w:rPr>
          <w:b/>
        </w:rPr>
        <w:t>What’s missing from the [VELS] guiding principles?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Attention to systems of power and privilege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Attention to advocate to make systems more responsive to families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 xml:space="preserve">Attention to data that tells us where we are now (sticky note: Data—yes) 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Attention to where we want to be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Attention to equity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What are the teeth?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They are lovely and comfortable</w:t>
      </w:r>
      <w:r w:rsidRPr="00544DA4">
        <w:sym w:font="Wingdings" w:char="F0E0"/>
      </w:r>
      <w:r w:rsidRPr="00544DA4">
        <w:t>We need accountability and expectation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What are the results we expect to see? What is full potential?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>Developmentally inappropriate work is still happening</w:t>
      </w:r>
    </w:p>
    <w:p w:rsidR="00F01AFB" w:rsidRPr="00544DA4" w:rsidRDefault="00F01AFB" w:rsidP="00F01AFB">
      <w:pPr>
        <w:pStyle w:val="ListParagraph"/>
        <w:numPr>
          <w:ilvl w:val="0"/>
          <w:numId w:val="3"/>
        </w:numPr>
        <w:spacing w:before="80" w:after="80"/>
        <w:ind w:left="0"/>
      </w:pPr>
      <w:r w:rsidRPr="00544DA4">
        <w:t xml:space="preserve">RBA framework: we will hold ourselves accountable for every level. 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Cultivating a sense of belonging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Needs more attention to family strengths, assets and competence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Action plan are more in alignment with family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 xml:space="preserve">Place matters—the physical environment matters—VELS doesn’t mention it. (Sticky note: This allows for meeting families where they are </w:t>
      </w:r>
      <w:r w:rsidRPr="00544DA4">
        <w:rPr>
          <w:u w:val="single"/>
        </w:rPr>
        <w:t>birth</w:t>
      </w:r>
      <w:r w:rsidRPr="00544DA4">
        <w:t xml:space="preserve"> to 3</w:t>
      </w:r>
      <w:r w:rsidRPr="00544DA4">
        <w:rPr>
          <w:vertAlign w:val="superscript"/>
        </w:rPr>
        <w:t>rd</w:t>
      </w:r>
      <w:r w:rsidRPr="00544DA4">
        <w:t xml:space="preserve"> grade) 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Language is us/them rather than “we;” everyone has a part to play; everyone contributes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Use “we” language that works for all—New Mexico is closer to this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Families and professionals together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Need to support professionals in the work that they do</w:t>
      </w:r>
      <w:r w:rsidRPr="00544DA4">
        <w:sym w:font="Wingdings" w:char="F0E0"/>
      </w:r>
      <w:r w:rsidRPr="00544DA4">
        <w:t xml:space="preserve"> a community that supports teachers, supports kids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Could we specify roles so that the system commits to X, Y and Z; Families to A, B and C etc.?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VELS is too much—the 4 “we believe capture it.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Different systems engage in different ways committed to the application of these principles, across all roles and disciplines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What are the measures?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Committed to continual improvement and reflecting on our practice</w:t>
      </w:r>
    </w:p>
    <w:p w:rsidR="00F01AFB" w:rsidRPr="00544DA4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Love the New Mexico graphic</w:t>
      </w:r>
    </w:p>
    <w:p w:rsidR="00F01AFB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 w:rsidRPr="00544DA4">
        <w:t>Identifying road map</w:t>
      </w:r>
    </w:p>
    <w:p w:rsidR="00F01AFB" w:rsidRPr="00B2184E" w:rsidRDefault="00F01AFB" w:rsidP="00F01AFB">
      <w:pPr>
        <w:pStyle w:val="ListParagraph"/>
        <w:spacing w:before="80" w:after="80"/>
        <w:ind w:left="0"/>
        <w:rPr>
          <w:sz w:val="16"/>
        </w:rPr>
      </w:pPr>
    </w:p>
    <w:p w:rsidR="0041254B" w:rsidRPr="00F01AFB" w:rsidRDefault="0041254B" w:rsidP="0041254B">
      <w:pPr>
        <w:pStyle w:val="ListParagraph"/>
        <w:shd w:val="clear" w:color="auto" w:fill="92D050"/>
        <w:spacing w:before="80" w:after="80"/>
        <w:ind w:left="0"/>
      </w:pPr>
      <w:r>
        <w:rPr>
          <w:b/>
        </w:rPr>
        <w:t>From</w:t>
      </w:r>
      <w:r w:rsidRPr="00F01AFB">
        <w:rPr>
          <w:b/>
        </w:rPr>
        <w:t xml:space="preserve"> the </w:t>
      </w:r>
      <w:r>
        <w:rPr>
          <w:b/>
        </w:rPr>
        <w:t>green</w:t>
      </w:r>
      <w:r w:rsidRPr="00F01AFB">
        <w:rPr>
          <w:b/>
        </w:rPr>
        <w:t xml:space="preserve"> group</w:t>
      </w:r>
    </w:p>
    <w:p w:rsidR="0041254B" w:rsidRDefault="0041254B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What level will the Guiding Principles be at: forest, tree, branches, </w:t>
      </w:r>
      <w:proofErr w:type="gramStart"/>
      <w:r>
        <w:t>leaves</w:t>
      </w:r>
      <w:proofErr w:type="gramEnd"/>
      <w:r>
        <w:t>?</w:t>
      </w:r>
    </w:p>
    <w:p w:rsidR="0041254B" w:rsidRDefault="0041254B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>Tension between the public good and the private good</w:t>
      </w:r>
    </w:p>
    <w:p w:rsidR="0041254B" w:rsidRDefault="0041254B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>How will the Guiding Principles be accessible to families? Companion documents? Words and language used?</w:t>
      </w:r>
    </w:p>
    <w:p w:rsidR="0041254B" w:rsidRDefault="0041254B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>Make the relationship between “we believe” and “we commit to” explicit</w:t>
      </w:r>
    </w:p>
    <w:p w:rsidR="0041254B" w:rsidRDefault="0041254B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>How will the Guiding Principles remain dynamic?</w:t>
      </w:r>
    </w:p>
    <w:p w:rsidR="0041254B" w:rsidRDefault="0041254B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What is needed for the Guiding Principles to become embedded in our work at all levels of the early childhood ecosystem? Awareness? Skills? Knowledge? </w:t>
      </w:r>
      <w:proofErr w:type="spellStart"/>
      <w:r>
        <w:t>At</w:t>
      </w:r>
      <w:r w:rsidR="000C4902">
        <w:t>ributes</w:t>
      </w:r>
      <w:proofErr w:type="spellEnd"/>
      <w:r>
        <w:t>? Polic</w:t>
      </w:r>
      <w:r w:rsidR="000C4902">
        <w:t>ies? Accountability? Resources? How to counteract the idea that this is top down, more work, “being done to them”</w:t>
      </w:r>
    </w:p>
    <w:p w:rsidR="000C4902" w:rsidRDefault="000C4902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Who is the owner of this work? Document process? Engagement of more state people? Maybe not “the agencies” </w:t>
      </w:r>
    </w:p>
    <w:p w:rsidR="000C4902" w:rsidRDefault="000C4902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>When you have conflicting values, how do we support our field?</w:t>
      </w:r>
    </w:p>
    <w:p w:rsidR="000C4902" w:rsidRDefault="000C4902" w:rsidP="0041254B">
      <w:pPr>
        <w:pStyle w:val="ListParagraph"/>
        <w:numPr>
          <w:ilvl w:val="0"/>
          <w:numId w:val="2"/>
        </w:numPr>
        <w:spacing w:before="80" w:after="80"/>
        <w:ind w:left="0"/>
      </w:pPr>
      <w:r>
        <w:t>Continuum of teachers development and adult development</w:t>
      </w:r>
    </w:p>
    <w:p w:rsidR="00B2184E" w:rsidRPr="00F01AFB" w:rsidRDefault="00B2184E" w:rsidP="00B2184E">
      <w:pPr>
        <w:shd w:val="clear" w:color="auto" w:fill="FFC000"/>
        <w:spacing w:before="80" w:after="80"/>
      </w:pPr>
      <w:r w:rsidRPr="00F01AFB">
        <w:rPr>
          <w:b/>
        </w:rPr>
        <w:t xml:space="preserve">From the </w:t>
      </w:r>
      <w:r>
        <w:rPr>
          <w:b/>
        </w:rPr>
        <w:t>orange</w:t>
      </w:r>
      <w:r w:rsidRPr="00F01AFB">
        <w:rPr>
          <w:b/>
        </w:rPr>
        <w:t xml:space="preserve"> group</w:t>
      </w:r>
    </w:p>
    <w:p w:rsidR="00B2184E" w:rsidRDefault="00B2184E" w:rsidP="00B2184E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How are voices of families from other cultures and ethnicities included?</w:t>
      </w:r>
    </w:p>
    <w:p w:rsidR="00B2184E" w:rsidRDefault="00B2184E" w:rsidP="00B2184E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When whites are in the minority, the discussion is more authentic</w:t>
      </w:r>
    </w:p>
    <w:p w:rsidR="00F01AFB" w:rsidRPr="00F01AFB" w:rsidRDefault="00F01AFB" w:rsidP="00F01AFB">
      <w:pPr>
        <w:pStyle w:val="ListParagraph"/>
        <w:shd w:val="clear" w:color="auto" w:fill="FFFF00"/>
        <w:spacing w:before="80" w:after="80"/>
        <w:ind w:left="0"/>
      </w:pPr>
      <w:r>
        <w:rPr>
          <w:b/>
        </w:rPr>
        <w:lastRenderedPageBreak/>
        <w:t>From</w:t>
      </w:r>
      <w:r w:rsidRPr="00F01AFB">
        <w:rPr>
          <w:b/>
        </w:rPr>
        <w:t xml:space="preserve"> the yellow group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Greeting → welcome (example: eye contact, take time, not too busy, just say hello, yearning from families and how they are respected)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Recognize  our family → celebrate our family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Promise – Every child and every human being. As adults, we have made a promise to our children and it is our moral imperative to live our promise.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Some families (adults in the family) are not seeking connection/help. May have the culture, what is said stays here. Many want connection for children but not for themselves.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How do families define connection? May be different for every family. How do we know what it means for them?</w:t>
      </w:r>
    </w:p>
    <w:p w:rsidR="00F01AFB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Culturally responsive practices and child protection may exist in tension. Example: make a report to DCF-FS and maintain a relationship with a family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In an unhealthy environment, concerns about well-being, safety need to be addressed.</w:t>
      </w:r>
    </w:p>
    <w:p w:rsidR="00A16E65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Transformational to both parties as they get to know each other through deep dialogue over time. </w:t>
      </w:r>
    </w:p>
    <w:p w:rsidR="00FD413B" w:rsidRDefault="00FD413B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Professionals remember why they entered the field in the first place</w:t>
      </w:r>
    </w:p>
    <w:p w:rsidR="00FD413B" w:rsidRDefault="00FD413B" w:rsidP="00FD413B">
      <w:pPr>
        <w:pStyle w:val="ListParagraph"/>
        <w:numPr>
          <w:ilvl w:val="0"/>
          <w:numId w:val="2"/>
        </w:numPr>
        <w:spacing w:before="80" w:after="80"/>
        <w:ind w:left="0"/>
      </w:pPr>
      <w:r>
        <w:t>Need to define high quality</w:t>
      </w:r>
    </w:p>
    <w:p w:rsidR="00FD413B" w:rsidRDefault="00FD413B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Will Guiding Principles have both high literacy and low literacy formats? Also, translated in different languages.</w:t>
      </w:r>
    </w:p>
    <w:p w:rsidR="006B3D78" w:rsidRDefault="006B3D78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Open – some people never lose impact of early experiences or differences (e.g., poverty)</w:t>
      </w:r>
    </w:p>
    <w:p w:rsidR="00F01AFB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Race as self-identified vs. pre-determined. Other, mixed, no category for me – not inclusive. The categories are social constructs. Pre-determined questions can be triggering. Example: questionnaire – be sensitive to use Parent 1/Parent 2 instead of mother/father</w:t>
      </w:r>
    </w:p>
    <w:p w:rsidR="00F01AFB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The way we ask people to identify themselves may not be the way they identify themselves</w:t>
      </w:r>
    </w:p>
    <w:p w:rsidR="00F01AFB" w:rsidRDefault="00F01AFB" w:rsidP="00F01AFB">
      <w:pPr>
        <w:pStyle w:val="ListParagraph"/>
        <w:numPr>
          <w:ilvl w:val="0"/>
          <w:numId w:val="2"/>
        </w:numPr>
        <w:spacing w:before="80" w:after="80"/>
        <w:ind w:left="0"/>
      </w:pPr>
      <w:r>
        <w:t>Don’t have to check a box that makes you stand out (e.g., criminal history)</w:t>
      </w:r>
    </w:p>
    <w:p w:rsidR="000C4902" w:rsidRPr="00A16E65" w:rsidRDefault="000C4902" w:rsidP="000C4902">
      <w:pPr>
        <w:pStyle w:val="ListParagraph"/>
        <w:shd w:val="clear" w:color="auto" w:fill="FFFFFF" w:themeFill="background1"/>
        <w:spacing w:before="80" w:after="80"/>
        <w:ind w:left="360"/>
        <w:rPr>
          <w:sz w:val="12"/>
        </w:rPr>
      </w:pPr>
    </w:p>
    <w:p w:rsidR="00323CCF" w:rsidRPr="00F01AFB" w:rsidRDefault="00323CCF" w:rsidP="00A16E65">
      <w:pPr>
        <w:shd w:val="clear" w:color="auto" w:fill="95B3D7" w:themeFill="accent1" w:themeFillTint="99"/>
      </w:pPr>
      <w:r w:rsidRPr="00F01AFB">
        <w:rPr>
          <w:b/>
        </w:rPr>
        <w:t>From the</w:t>
      </w:r>
      <w:r>
        <w:rPr>
          <w:b/>
        </w:rPr>
        <w:t xml:space="preserve"> blue</w:t>
      </w:r>
      <w:r w:rsidRPr="00F01AFB">
        <w:rPr>
          <w:b/>
        </w:rPr>
        <w:t xml:space="preserve"> group</w:t>
      </w:r>
    </w:p>
    <w:p w:rsidR="00323CCF" w:rsidRP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 w:rsidRPr="00323CCF">
        <w:t>Some parents may want their children connected in a different way than they may want to connect</w:t>
      </w:r>
    </w:p>
    <w:p w:rsidR="00323CCF" w:rsidRP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 w:rsidRPr="00323CCF">
        <w:t>Fundamentally families have their children’s best interests at heart</w:t>
      </w:r>
    </w:p>
    <w:p w:rsidR="00323CCF" w:rsidRP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 w:rsidRPr="00323CCF">
        <w:t>Ask questions about what form of communication and involvement they want. Ask, not assume</w:t>
      </w:r>
    </w:p>
    <w:p w:rsidR="00323CCF" w:rsidRP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Continue</w:t>
      </w:r>
      <w:r w:rsidRPr="00323CCF">
        <w:t xml:space="preserve"> concrete learning about different identities lines of difference</w:t>
      </w:r>
    </w:p>
    <w:p w:rsidR="00323CCF" w:rsidRP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 w:rsidRPr="00323CCF">
        <w:t>Two-way communication</w:t>
      </w:r>
    </w:p>
    <w:p w:rsid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Preserving</w:t>
      </w:r>
      <w:r w:rsidRPr="00323CCF">
        <w:t xml:space="preserve"> dignity of all actors</w:t>
      </w:r>
    </w:p>
    <w:p w:rsid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Words aren’t just words. How do we put them into action?</w:t>
      </w:r>
    </w:p>
    <w:p w:rsid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Respect for families, professionals, children, process</w:t>
      </w:r>
    </w:p>
    <w:p w:rsid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Sincerity, authenticity, genuine</w:t>
      </w:r>
    </w:p>
    <w:p w:rsid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Cultural fear – families not participating in established school process because attending a conference is seen in a negative light – seeking or asking for input from a teacher is not a cultural practice. </w:t>
      </w:r>
    </w:p>
    <w:p w:rsidR="00323CCF" w:rsidRDefault="00323CCF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Developing cultural competence, identifying </w:t>
      </w:r>
      <w:r w:rsidR="00A16E65">
        <w:t>cultural mediators/liaisons. Funding is needed to support this!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Creating community – when we feel a sense of community including all we have put our work into action.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Commitment to equity and access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Fundamental </w:t>
      </w:r>
      <w:proofErr w:type="gramStart"/>
      <w:r>
        <w:t>right to grow, thrive</w:t>
      </w:r>
      <w:proofErr w:type="gramEnd"/>
      <w:r>
        <w:t>, and belong. Multi-generationally across all family structures.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Moving beyond being passively “welcoming” to actively reaching out to and engaging families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Being creative about how we create space to engage with families in ways that remove barriers and stigmas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We must commit to being partners in dismantling broader systemic inequities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Thinking about the language we use. Make sure it is family friendly.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Place matters: classroom, community gathering spaces, policy making spaces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Understand, differentiate, and meet children and families where they are at</w:t>
      </w:r>
    </w:p>
    <w:p w:rsidR="00A16E65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Examine and unpack our own biases and privilege</w:t>
      </w:r>
    </w:p>
    <w:p w:rsidR="00A16E65" w:rsidRPr="00323CCF" w:rsidRDefault="00A16E65" w:rsidP="00A16E65">
      <w:pPr>
        <w:pStyle w:val="ListParagraph"/>
        <w:numPr>
          <w:ilvl w:val="0"/>
          <w:numId w:val="2"/>
        </w:numPr>
        <w:spacing w:before="80" w:after="80"/>
        <w:ind w:left="0"/>
      </w:pPr>
      <w:r>
        <w:t>In addition to the principles we will need concrete resource, supports and infrastructure to put them into practice</w:t>
      </w:r>
    </w:p>
    <w:p w:rsidR="00A16E65" w:rsidRPr="00A16E65" w:rsidRDefault="00A16E65" w:rsidP="00F01AFB">
      <w:pPr>
        <w:pStyle w:val="ListParagraph"/>
        <w:spacing w:before="80" w:after="80"/>
        <w:ind w:left="0"/>
        <w:rPr>
          <w:sz w:val="8"/>
        </w:rPr>
      </w:pPr>
    </w:p>
    <w:p w:rsidR="00F01AFB" w:rsidRPr="00323CCF" w:rsidRDefault="00F01AFB" w:rsidP="00323CCF">
      <w:pPr>
        <w:pStyle w:val="ListParagraph"/>
        <w:shd w:val="clear" w:color="auto" w:fill="000000" w:themeFill="text1"/>
        <w:spacing w:before="80" w:after="80"/>
        <w:ind w:left="0"/>
        <w:rPr>
          <w:color w:val="FFFFFF" w:themeColor="background1"/>
        </w:rPr>
      </w:pPr>
      <w:r w:rsidRPr="00323CCF">
        <w:rPr>
          <w:b/>
          <w:color w:val="FFFFFF" w:themeColor="background1"/>
        </w:rPr>
        <w:lastRenderedPageBreak/>
        <w:t xml:space="preserve">From the </w:t>
      </w:r>
      <w:r w:rsidR="00323CCF">
        <w:rPr>
          <w:b/>
          <w:color w:val="FFFFFF" w:themeColor="background1"/>
        </w:rPr>
        <w:t>black</w:t>
      </w:r>
      <w:r w:rsidRPr="00323CCF">
        <w:rPr>
          <w:b/>
          <w:color w:val="FFFFFF" w:themeColor="background1"/>
        </w:rPr>
        <w:t xml:space="preserve"> group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Need to feel a better connection between K-6 and EEE for more continuity for kids. Don’t think K-6 teachers really recognize how significant the preschool teachers and programs are to our schools.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One of the Guiding Principles should be a commitment to support this work with resources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Is this guiding principle process family driven? Are we empowering families to identify how Vermont could support them?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Use action words to frame the Guiding Principles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Include strengths-based frame up front as they did in the NM Guiding Principles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Consider combining VELS guiding principles #2, #3 and #9 in more simple language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How do we create principles for people across different roles (e.g., families, educators, administrators, policymakers)? Or language that can be applied to someone in any role?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We can call a process “family-driven” or we can restructure it so that families are actors. The phrase makes it active.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Who defines “the promise of every child”? What it looks like to thrive?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Principles should speak to the now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While inclusion can be relational, inequity and injustice happen at a systems level and need to be addressed at a systems level.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How do these principles reach those who are falling through the cracks and not served?</w:t>
      </w:r>
    </w:p>
    <w:p w:rsidR="00AE46DC" w:rsidRDefault="00AE46DC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How does this reality not reflect the principles? How do we apply them at a policy level?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How do we draft and execute the principles to acknowledge, reflect, and support our mixed delivery system?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 xml:space="preserve">Use pronoun specificity. General </w:t>
      </w:r>
      <w:r w:rsidR="00744E21">
        <w:t>“</w:t>
      </w:r>
      <w:r>
        <w:t>we</w:t>
      </w:r>
      <w:r w:rsidR="00744E21">
        <w:t>”</w:t>
      </w:r>
      <w:r>
        <w:t xml:space="preserve"> makes unclear who is acting.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We need a course on the Guiding Principles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Empower those who work with children and families to engage in discussions of equity and inclusion and make it part of a developmentally appropriate curriculum for children.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Include Strengthening Families language into the guiding principles as it is being used already, families know about it, and it just makes sense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Replace “realistic” with “practical”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Find a balance in “we will” section between what is done directly in work with children and families and what is done at a systems level to support that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Include ways in which Guiding Principles can be used by various groups (e.g., teachers, family members, faculty/trainers, EC program administrators) like they did in New Mexico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Consider changing terms like “family-drive process” to “empower families to . . .”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Use strengths –based approaches. New Mexico opening really exemplifies this. Goes beyond just valuing families.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Who is the audience? Write to the audience. Need multiple iterations of the Guiding Principles? (e.g., brochure, detailed reports, guiding questions, etc.)</w:t>
      </w:r>
    </w:p>
    <w:p w:rsidR="00E62FF7" w:rsidRDefault="00E62FF7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Like “always ask” statement for goal #2 but need to explain who is asked. All those involved are empowered to weigh in.</w:t>
      </w:r>
    </w:p>
    <w:p w:rsidR="00AE7FDB" w:rsidRDefault="00AE7FDB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How to ensure that the Guiding Principles are implemented and families’ voices are instrumental in the evaluation/continuous quality improvement process</w:t>
      </w:r>
    </w:p>
    <w:p w:rsidR="00AE7FDB" w:rsidRDefault="00AE7FDB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Use simplified language (like in the Head Start Interagency Agreement)</w:t>
      </w:r>
    </w:p>
    <w:p w:rsidR="00744E21" w:rsidRDefault="00AE7FDB" w:rsidP="00B2184E">
      <w:pPr>
        <w:pStyle w:val="ListParagraph"/>
        <w:numPr>
          <w:ilvl w:val="0"/>
          <w:numId w:val="2"/>
        </w:numPr>
        <w:spacing w:before="80" w:after="80"/>
        <w:ind w:left="0"/>
      </w:pPr>
      <w:r>
        <w:t>Integrate Adverse Childhood Experiences (ACEs) and Adverse Family Experiences (AFEs) directly into programs</w:t>
      </w:r>
    </w:p>
    <w:p w:rsidR="00744E21" w:rsidRDefault="00744E21" w:rsidP="00B2184E">
      <w:pPr>
        <w:pStyle w:val="ListParagraph"/>
        <w:numPr>
          <w:ilvl w:val="0"/>
          <w:numId w:val="2"/>
        </w:numPr>
        <w:spacing w:before="80" w:after="80"/>
        <w:ind w:left="0"/>
      </w:pPr>
    </w:p>
    <w:sectPr w:rsidR="00744E21" w:rsidSect="00AE7FD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9" w:rsidRDefault="00236939" w:rsidP="00AE7FDB">
      <w:r>
        <w:separator/>
      </w:r>
    </w:p>
  </w:endnote>
  <w:endnote w:type="continuationSeparator" w:id="0">
    <w:p w:rsidR="00236939" w:rsidRDefault="00236939" w:rsidP="00AE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DB" w:rsidRDefault="00AE7FD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53835">
      <w:rPr>
        <w:sz w:val="20"/>
      </w:rPr>
      <w:t>Transcript from Ensuring Each Child’s Full Participation: A Critical Conversation May 26, 2016</w:t>
    </w:r>
    <w:r w:rsidRPr="00453835">
      <w:rPr>
        <w:rFonts w:asciiTheme="majorHAnsi" w:eastAsiaTheme="majorEastAsia" w:hAnsiTheme="majorHAnsi" w:cstheme="majorBidi"/>
        <w:sz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74C1F" w:rsidRPr="00D74C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E7FDB" w:rsidRDefault="00AE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9" w:rsidRDefault="00236939" w:rsidP="00AE7FDB">
      <w:r>
        <w:separator/>
      </w:r>
    </w:p>
  </w:footnote>
  <w:footnote w:type="continuationSeparator" w:id="0">
    <w:p w:rsidR="00236939" w:rsidRDefault="00236939" w:rsidP="00AE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2C8"/>
    <w:multiLevelType w:val="hybridMultilevel"/>
    <w:tmpl w:val="F6EE9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83C84"/>
    <w:multiLevelType w:val="hybridMultilevel"/>
    <w:tmpl w:val="9574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9217A"/>
    <w:multiLevelType w:val="hybridMultilevel"/>
    <w:tmpl w:val="B7B42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80620"/>
    <w:multiLevelType w:val="hybridMultilevel"/>
    <w:tmpl w:val="708C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C"/>
    <w:rsid w:val="0006279A"/>
    <w:rsid w:val="000918BB"/>
    <w:rsid w:val="000C4902"/>
    <w:rsid w:val="00236939"/>
    <w:rsid w:val="002F51E5"/>
    <w:rsid w:val="00323CCF"/>
    <w:rsid w:val="0041254B"/>
    <w:rsid w:val="00512857"/>
    <w:rsid w:val="00520DF5"/>
    <w:rsid w:val="006B3D78"/>
    <w:rsid w:val="00744E21"/>
    <w:rsid w:val="008A6665"/>
    <w:rsid w:val="00923585"/>
    <w:rsid w:val="00A16E65"/>
    <w:rsid w:val="00AE46DC"/>
    <w:rsid w:val="00AE7FDB"/>
    <w:rsid w:val="00AF0372"/>
    <w:rsid w:val="00B2184E"/>
    <w:rsid w:val="00CB2F1A"/>
    <w:rsid w:val="00CD55A7"/>
    <w:rsid w:val="00D74C1F"/>
    <w:rsid w:val="00E62FF7"/>
    <w:rsid w:val="00F01AFB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DB"/>
  </w:style>
  <w:style w:type="paragraph" w:styleId="Footer">
    <w:name w:val="footer"/>
    <w:basedOn w:val="Normal"/>
    <w:link w:val="FooterChar"/>
    <w:uiPriority w:val="99"/>
    <w:unhideWhenUsed/>
    <w:rsid w:val="00AE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DB"/>
  </w:style>
  <w:style w:type="paragraph" w:styleId="BalloonText">
    <w:name w:val="Balloon Text"/>
    <w:basedOn w:val="Normal"/>
    <w:link w:val="BalloonTextChar"/>
    <w:uiPriority w:val="99"/>
    <w:semiHidden/>
    <w:unhideWhenUsed/>
    <w:rsid w:val="00AE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DB"/>
  </w:style>
  <w:style w:type="paragraph" w:styleId="Footer">
    <w:name w:val="footer"/>
    <w:basedOn w:val="Normal"/>
    <w:link w:val="FooterChar"/>
    <w:uiPriority w:val="99"/>
    <w:unhideWhenUsed/>
    <w:rsid w:val="00AE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DB"/>
  </w:style>
  <w:style w:type="paragraph" w:styleId="BalloonText">
    <w:name w:val="Balloon Text"/>
    <w:basedOn w:val="Normal"/>
    <w:link w:val="BalloonTextChar"/>
    <w:uiPriority w:val="99"/>
    <w:semiHidden/>
    <w:unhideWhenUsed/>
    <w:rsid w:val="00AE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7</cp:revision>
  <cp:lastPrinted>2016-06-29T17:55:00Z</cp:lastPrinted>
  <dcterms:created xsi:type="dcterms:W3CDTF">2016-06-28T19:25:00Z</dcterms:created>
  <dcterms:modified xsi:type="dcterms:W3CDTF">2016-06-30T18:29:00Z</dcterms:modified>
</cp:coreProperties>
</file>