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19BD8" w14:textId="6924B1EB" w:rsidR="004C70ED" w:rsidRPr="004C70ED" w:rsidRDefault="00C01DE6" w:rsidP="004C70ED">
      <w:pPr>
        <w:spacing w:after="0"/>
        <w:rPr>
          <w:rFonts w:ascii="Abadi" w:eastAsia="Dotum" w:hAnsi="Abadi" w:cs="LilyUPC"/>
          <w:b/>
          <w:sz w:val="42"/>
          <w:szCs w:val="48"/>
        </w:rPr>
      </w:pPr>
      <w:r>
        <w:rPr>
          <w:rFonts w:ascii="Abadi" w:eastAsia="Dotum" w:hAnsi="Abadi" w:cs="LilyUPC"/>
          <w:b/>
          <w:sz w:val="42"/>
          <w:szCs w:val="48"/>
        </w:rPr>
        <w:t xml:space="preserve">2019 </w:t>
      </w:r>
      <w:r w:rsidR="004C70ED" w:rsidRPr="004C70ED">
        <w:rPr>
          <w:rFonts w:ascii="Abadi" w:eastAsia="Dotum" w:hAnsi="Abadi" w:cs="LilyUPC"/>
          <w:b/>
          <w:sz w:val="42"/>
          <w:szCs w:val="48"/>
        </w:rPr>
        <w:t>Play Facts</w:t>
      </w:r>
      <w:r w:rsidR="00F83E62">
        <w:rPr>
          <w:rFonts w:ascii="Abadi" w:eastAsia="Dotum" w:hAnsi="Abadi" w:cs="LilyUPC"/>
          <w:b/>
          <w:sz w:val="42"/>
          <w:szCs w:val="48"/>
        </w:rPr>
        <w:t xml:space="preserve"> (quiz answers)</w:t>
      </w:r>
      <w:bookmarkStart w:id="0" w:name="_GoBack"/>
      <w:bookmarkEnd w:id="0"/>
    </w:p>
    <w:p w14:paraId="00D47BC6" w14:textId="77777777" w:rsidR="004C70ED" w:rsidRPr="004C70ED" w:rsidRDefault="004C70ED" w:rsidP="004C70ED">
      <w:pPr>
        <w:spacing w:after="0"/>
        <w:jc w:val="center"/>
        <w:rPr>
          <w:rFonts w:ascii="Abadi" w:eastAsia="Dotum" w:hAnsi="Abadi" w:cs="LilyUPC"/>
          <w:b/>
          <w:sz w:val="8"/>
          <w:szCs w:val="28"/>
        </w:rPr>
      </w:pPr>
    </w:p>
    <w:tbl>
      <w:tblPr>
        <w:tblStyle w:val="TableGrid1"/>
        <w:tblW w:w="10980" w:type="dxa"/>
        <w:tblInd w:w="-95" w:type="dxa"/>
        <w:tblLayout w:type="fixed"/>
        <w:tblLook w:val="04A0" w:firstRow="1" w:lastRow="0" w:firstColumn="1" w:lastColumn="0" w:noHBand="0" w:noVBand="1"/>
      </w:tblPr>
      <w:tblGrid>
        <w:gridCol w:w="2160"/>
        <w:gridCol w:w="8820"/>
      </w:tblGrid>
      <w:tr w:rsidR="004C70ED" w:rsidRPr="004C70ED" w14:paraId="4EA38C53" w14:textId="77777777" w:rsidTr="00DB1AAA">
        <w:trPr>
          <w:trHeight w:val="1151"/>
        </w:trPr>
        <w:tc>
          <w:tcPr>
            <w:tcW w:w="2160" w:type="dxa"/>
          </w:tcPr>
          <w:p w14:paraId="729D0749" w14:textId="215CC346" w:rsidR="004C70ED" w:rsidRPr="004A4EC8" w:rsidRDefault="00DB1AAA" w:rsidP="00DB1AAA">
            <w:pPr>
              <w:spacing w:after="0" w:line="240" w:lineRule="auto"/>
              <w:jc w:val="center"/>
              <w:rPr>
                <w:rFonts w:eastAsia="Dotum" w:cstheme="minorHAnsi"/>
                <w:noProof/>
                <w:sz w:val="23"/>
                <w:szCs w:val="23"/>
              </w:rPr>
            </w:pPr>
            <w:r>
              <w:rPr>
                <w:rFonts w:eastAsia="Dotum" w:cstheme="minorHAnsi"/>
                <w:noProof/>
                <w:sz w:val="23"/>
                <w:szCs w:val="23"/>
              </w:rPr>
              <w:t>A rich imagination improves the ability to use words to express needs, feelings, and ideas.</w:t>
            </w:r>
          </w:p>
        </w:tc>
        <w:tc>
          <w:tcPr>
            <w:tcW w:w="8820" w:type="dxa"/>
            <w:vAlign w:val="center"/>
          </w:tcPr>
          <w:p w14:paraId="5E535490" w14:textId="07DB62E0" w:rsidR="00AC4E19" w:rsidRPr="004C5A05" w:rsidRDefault="00AC4E19" w:rsidP="004C70ED">
            <w:pPr>
              <w:spacing w:after="0" w:line="240" w:lineRule="auto"/>
              <w:textAlignment w:val="baseline"/>
              <w:rPr>
                <w:b/>
                <w:i/>
              </w:rPr>
            </w:pPr>
            <w:r w:rsidRPr="004C5A05">
              <w:rPr>
                <w:b/>
                <w:i/>
              </w:rPr>
              <w:t>“Research provides more and more evidence of the positive effects that well-developed play has on various areas of child development such as social skills, emerging mathematical ability, mastery of literacy concepts, and self-regulation</w:t>
            </w:r>
            <w:r w:rsidR="004C5A05" w:rsidRPr="004C5A05">
              <w:rPr>
                <w:b/>
                <w:i/>
              </w:rPr>
              <w:t>.</w:t>
            </w:r>
            <w:r w:rsidRPr="004C5A05">
              <w:rPr>
                <w:b/>
                <w:i/>
              </w:rPr>
              <w:t xml:space="preserve">” </w:t>
            </w:r>
            <w:r w:rsidRPr="004C5A05">
              <w:t>(p. 29)</w:t>
            </w:r>
          </w:p>
          <w:p w14:paraId="223E6488" w14:textId="478A9EBF" w:rsidR="004C70ED" w:rsidRPr="004C5A05" w:rsidRDefault="00AC4E19" w:rsidP="004C70ED">
            <w:pPr>
              <w:spacing w:after="0" w:line="240" w:lineRule="auto"/>
              <w:textAlignment w:val="baseline"/>
              <w:rPr>
                <w:rFonts w:eastAsia="Calibri" w:cstheme="minorHAnsi"/>
                <w:b/>
                <w:bCs/>
                <w:sz w:val="24"/>
                <w:szCs w:val="24"/>
              </w:rPr>
            </w:pPr>
            <w:r w:rsidRPr="004C5A05">
              <w:rPr>
                <w:rFonts w:cstheme="minorHAnsi"/>
                <w:color w:val="222222"/>
                <w:sz w:val="20"/>
                <w:szCs w:val="20"/>
                <w:shd w:val="clear" w:color="auto" w:fill="FFFFFF"/>
              </w:rPr>
              <w:t xml:space="preserve">Leong, D. J., &amp; </w:t>
            </w:r>
            <w:proofErr w:type="spellStart"/>
            <w:r w:rsidRPr="004C5A05">
              <w:rPr>
                <w:rFonts w:cstheme="minorHAnsi"/>
                <w:color w:val="222222"/>
                <w:sz w:val="20"/>
                <w:szCs w:val="20"/>
                <w:shd w:val="clear" w:color="auto" w:fill="FFFFFF"/>
              </w:rPr>
              <w:t>Bodrova</w:t>
            </w:r>
            <w:proofErr w:type="spellEnd"/>
            <w:r w:rsidRPr="004C5A05">
              <w:rPr>
                <w:rFonts w:cstheme="minorHAnsi"/>
                <w:color w:val="222222"/>
                <w:sz w:val="20"/>
                <w:szCs w:val="20"/>
                <w:shd w:val="clear" w:color="auto" w:fill="FFFFFF"/>
              </w:rPr>
              <w:t xml:space="preserve">, E. (2012). </w:t>
            </w:r>
            <w:r w:rsidR="004C5A05">
              <w:rPr>
                <w:rFonts w:cstheme="minorHAnsi"/>
                <w:color w:val="222222"/>
                <w:sz w:val="20"/>
                <w:szCs w:val="20"/>
                <w:shd w:val="clear" w:color="auto" w:fill="FFFFFF"/>
              </w:rPr>
              <w:t>Assessing and scaffolding m</w:t>
            </w:r>
            <w:r w:rsidRPr="004C5A05">
              <w:rPr>
                <w:rFonts w:cstheme="minorHAnsi"/>
                <w:color w:val="222222"/>
                <w:sz w:val="20"/>
                <w:szCs w:val="20"/>
                <w:shd w:val="clear" w:color="auto" w:fill="FFFFFF"/>
              </w:rPr>
              <w:t>ake-</w:t>
            </w:r>
            <w:r w:rsidR="004C5A05" w:rsidRPr="004C5A05">
              <w:rPr>
                <w:rFonts w:cstheme="minorHAnsi"/>
                <w:color w:val="222222"/>
                <w:sz w:val="20"/>
                <w:szCs w:val="20"/>
                <w:shd w:val="clear" w:color="auto" w:fill="FFFFFF"/>
              </w:rPr>
              <w:t>b</w:t>
            </w:r>
            <w:r w:rsidRPr="004C5A05">
              <w:rPr>
                <w:rFonts w:cstheme="minorHAnsi"/>
                <w:color w:val="222222"/>
                <w:sz w:val="20"/>
                <w:szCs w:val="20"/>
                <w:shd w:val="clear" w:color="auto" w:fill="FFFFFF"/>
              </w:rPr>
              <w:t xml:space="preserve">elieve </w:t>
            </w:r>
            <w:r w:rsidR="004C5A05" w:rsidRPr="004C5A05">
              <w:rPr>
                <w:rFonts w:cstheme="minorHAnsi"/>
                <w:color w:val="222222"/>
                <w:sz w:val="20"/>
                <w:szCs w:val="20"/>
                <w:shd w:val="clear" w:color="auto" w:fill="FFFFFF"/>
              </w:rPr>
              <w:t>p</w:t>
            </w:r>
            <w:r w:rsidRPr="004C5A05">
              <w:rPr>
                <w:rFonts w:cstheme="minorHAnsi"/>
                <w:color w:val="222222"/>
                <w:sz w:val="20"/>
                <w:szCs w:val="20"/>
                <w:shd w:val="clear" w:color="auto" w:fill="FFFFFF"/>
              </w:rPr>
              <w:t>lay. </w:t>
            </w:r>
            <w:r w:rsidRPr="004C5A05">
              <w:rPr>
                <w:rFonts w:cstheme="minorHAnsi"/>
                <w:i/>
                <w:iCs/>
                <w:color w:val="222222"/>
                <w:sz w:val="20"/>
                <w:szCs w:val="20"/>
                <w:shd w:val="clear" w:color="auto" w:fill="FFFFFF"/>
              </w:rPr>
              <w:t xml:space="preserve">Young </w:t>
            </w:r>
            <w:r w:rsidR="004C5A05" w:rsidRPr="004C5A05">
              <w:rPr>
                <w:rFonts w:cstheme="minorHAnsi"/>
                <w:i/>
                <w:iCs/>
                <w:color w:val="222222"/>
                <w:sz w:val="20"/>
                <w:szCs w:val="20"/>
                <w:shd w:val="clear" w:color="auto" w:fill="FFFFFF"/>
              </w:rPr>
              <w:t>C</w:t>
            </w:r>
            <w:r w:rsidRPr="004C5A05">
              <w:rPr>
                <w:rFonts w:cstheme="minorHAnsi"/>
                <w:i/>
                <w:iCs/>
                <w:color w:val="222222"/>
                <w:sz w:val="20"/>
                <w:szCs w:val="20"/>
                <w:shd w:val="clear" w:color="auto" w:fill="FFFFFF"/>
              </w:rPr>
              <w:t>hildren</w:t>
            </w:r>
            <w:r w:rsidRPr="004C5A05">
              <w:rPr>
                <w:rFonts w:cstheme="minorHAnsi"/>
                <w:i/>
                <w:color w:val="222222"/>
                <w:sz w:val="20"/>
                <w:szCs w:val="20"/>
                <w:shd w:val="clear" w:color="auto" w:fill="FFFFFF"/>
              </w:rPr>
              <w:t>, 29</w:t>
            </w:r>
            <w:r w:rsidR="004C5A05">
              <w:rPr>
                <w:rFonts w:cstheme="minorHAnsi"/>
                <w:color w:val="222222"/>
                <w:sz w:val="20"/>
                <w:szCs w:val="20"/>
                <w:shd w:val="clear" w:color="auto" w:fill="FFFFFF"/>
              </w:rPr>
              <w:t xml:space="preserve">, 28-34. </w:t>
            </w:r>
            <w:hyperlink r:id="rId6" w:history="1">
              <w:r w:rsidR="004C5A05" w:rsidRPr="004C5A05">
                <w:rPr>
                  <w:rStyle w:val="Hyperlink"/>
                  <w:rFonts w:cstheme="minorHAnsi"/>
                  <w:b/>
                  <w:sz w:val="20"/>
                  <w:u w:val="none"/>
                </w:rPr>
                <w:t>http://www.imagineeducation.com.au/files/CHCECE018022/1.pdf</w:t>
              </w:r>
            </w:hyperlink>
          </w:p>
        </w:tc>
      </w:tr>
      <w:tr w:rsidR="004C5A05" w:rsidRPr="004C70ED" w14:paraId="7DA89164" w14:textId="77777777" w:rsidTr="00F80362">
        <w:trPr>
          <w:trHeight w:val="1349"/>
        </w:trPr>
        <w:tc>
          <w:tcPr>
            <w:tcW w:w="2160" w:type="dxa"/>
            <w:vAlign w:val="center"/>
          </w:tcPr>
          <w:p w14:paraId="14F08061" w14:textId="77777777" w:rsidR="004C5A05" w:rsidRPr="004A4EC8" w:rsidRDefault="004C5A05" w:rsidP="00F80362">
            <w:pPr>
              <w:spacing w:after="0" w:line="240" w:lineRule="auto"/>
              <w:jc w:val="center"/>
              <w:rPr>
                <w:rFonts w:eastAsia="Dotum" w:cstheme="minorHAnsi"/>
                <w:sz w:val="23"/>
                <w:szCs w:val="23"/>
              </w:rPr>
            </w:pPr>
            <w:r w:rsidRPr="004A4EC8">
              <w:rPr>
                <w:rFonts w:eastAsia="Dotum" w:cstheme="minorHAnsi"/>
                <w:sz w:val="23"/>
                <w:szCs w:val="23"/>
              </w:rPr>
              <w:t>Children</w:t>
            </w:r>
            <w:r>
              <w:rPr>
                <w:rFonts w:eastAsia="Dotum" w:cstheme="minorHAnsi"/>
                <w:sz w:val="23"/>
                <w:szCs w:val="23"/>
              </w:rPr>
              <w:t xml:space="preserve"> who grow up with greener surroundings have better mental health. </w:t>
            </w:r>
            <w:r w:rsidRPr="004A4EC8">
              <w:rPr>
                <w:rFonts w:eastAsia="Dotum" w:cstheme="minorHAnsi"/>
                <w:sz w:val="23"/>
                <w:szCs w:val="23"/>
              </w:rPr>
              <w:t xml:space="preserve"> </w:t>
            </w:r>
          </w:p>
        </w:tc>
        <w:tc>
          <w:tcPr>
            <w:tcW w:w="8820" w:type="dxa"/>
            <w:vAlign w:val="center"/>
          </w:tcPr>
          <w:p w14:paraId="6979B884" w14:textId="77777777" w:rsidR="004C5A05" w:rsidRPr="000D5DB9" w:rsidRDefault="004C5A05" w:rsidP="00F80362">
            <w:pPr>
              <w:spacing w:after="0" w:line="240" w:lineRule="auto"/>
              <w:rPr>
                <w:rFonts w:ascii="Calibri" w:eastAsia="Times New Roman" w:hAnsi="Calibri" w:cs="Calibri"/>
                <w:sz w:val="24"/>
                <w:szCs w:val="24"/>
              </w:rPr>
            </w:pPr>
            <w:r w:rsidRPr="000D5DB9">
              <w:rPr>
                <w:rFonts w:cstheme="minorHAnsi"/>
                <w:b/>
                <w:i/>
                <w:color w:val="333333"/>
              </w:rPr>
              <w:t>Children who grow up with greener surroundings have up to 55% less risk of developing various mental disorders later in life.</w:t>
            </w:r>
            <w:r w:rsidRPr="000D5DB9">
              <w:rPr>
                <w:rFonts w:ascii="Tahoma" w:hAnsi="Tahoma" w:cs="Tahoma"/>
                <w:color w:val="333333"/>
              </w:rPr>
              <w:t xml:space="preserve"> </w:t>
            </w:r>
            <w:r w:rsidRPr="000D5DB9">
              <w:rPr>
                <w:rFonts w:cstheme="minorHAnsi"/>
                <w:color w:val="333333"/>
              </w:rPr>
              <w:t>(p. 1)</w:t>
            </w:r>
            <w:r w:rsidRPr="000D5DB9">
              <w:rPr>
                <w:rFonts w:ascii="Tahoma" w:hAnsi="Tahoma" w:cs="Tahoma"/>
                <w:color w:val="333333"/>
                <w:szCs w:val="17"/>
              </w:rPr>
              <w:t xml:space="preserve"> </w:t>
            </w:r>
            <w:hyperlink r:id="rId7" w:history="1">
              <w:r w:rsidRPr="000D5DB9">
                <w:rPr>
                  <w:rFonts w:eastAsia="Times New Roman" w:cstheme="minorHAnsi"/>
                  <w:b/>
                  <w:color w:val="0000FF"/>
                  <w:szCs w:val="24"/>
                </w:rPr>
                <w:t>https://doi.org/10.1073/pnas.1807504116</w:t>
              </w:r>
            </w:hyperlink>
          </w:p>
        </w:tc>
      </w:tr>
      <w:tr w:rsidR="004C70ED" w:rsidRPr="004C70ED" w14:paraId="78C478C1" w14:textId="77777777" w:rsidTr="00DB1AAA">
        <w:trPr>
          <w:trHeight w:val="1349"/>
        </w:trPr>
        <w:tc>
          <w:tcPr>
            <w:tcW w:w="2160" w:type="dxa"/>
            <w:vAlign w:val="center"/>
          </w:tcPr>
          <w:p w14:paraId="734B1A99" w14:textId="69694586" w:rsidR="004C70ED" w:rsidRPr="004A4EC8" w:rsidRDefault="00DB1AAA" w:rsidP="00DB1AAA">
            <w:pPr>
              <w:spacing w:after="0" w:line="240" w:lineRule="auto"/>
              <w:jc w:val="center"/>
              <w:rPr>
                <w:rFonts w:eastAsia="Dotum" w:cstheme="minorHAnsi"/>
                <w:noProof/>
                <w:sz w:val="23"/>
                <w:szCs w:val="23"/>
              </w:rPr>
            </w:pPr>
            <w:r>
              <w:rPr>
                <w:rFonts w:eastAsia="Dotum" w:cstheme="minorHAnsi"/>
                <w:noProof/>
                <w:sz w:val="23"/>
                <w:szCs w:val="23"/>
              </w:rPr>
              <w:t>Healthy social and emotional development helps children develop the ability to learn and concentrate.</w:t>
            </w:r>
          </w:p>
        </w:tc>
        <w:tc>
          <w:tcPr>
            <w:tcW w:w="8820" w:type="dxa"/>
            <w:vAlign w:val="center"/>
          </w:tcPr>
          <w:p w14:paraId="60EB56E1" w14:textId="066CED64" w:rsidR="004C70ED" w:rsidRPr="000D5DB9" w:rsidRDefault="001C775D" w:rsidP="004C70ED">
            <w:pPr>
              <w:spacing w:after="0" w:line="240" w:lineRule="auto"/>
              <w:rPr>
                <w:rFonts w:cstheme="minorHAnsi"/>
                <w:b/>
                <w:i/>
                <w:color w:val="414042"/>
                <w:sz w:val="20"/>
                <w:szCs w:val="20"/>
                <w:shd w:val="clear" w:color="auto" w:fill="FFFFFF"/>
              </w:rPr>
            </w:pPr>
            <w:r w:rsidRPr="000D5DB9">
              <w:rPr>
                <w:rFonts w:cstheme="minorHAnsi"/>
                <w:b/>
                <w:i/>
                <w:color w:val="333333"/>
                <w:szCs w:val="17"/>
              </w:rPr>
              <w:t>“</w:t>
            </w:r>
            <w:r w:rsidR="003B33B2" w:rsidRPr="000D5DB9">
              <w:rPr>
                <w:rFonts w:cstheme="minorHAnsi"/>
                <w:b/>
                <w:i/>
                <w:color w:val="333333"/>
                <w:szCs w:val="17"/>
              </w:rPr>
              <w:t>Research indicates that children who are mentally healthy tend to be happier, show greater motivation to learn, have a more positive attitude toward school, more eagerly participate in class activities, and demonstrate higher academic performance</w:t>
            </w:r>
            <w:r w:rsidR="004C5A05" w:rsidRPr="000D5DB9">
              <w:rPr>
                <w:rFonts w:cstheme="minorHAnsi"/>
                <w:b/>
                <w:i/>
                <w:color w:val="333333"/>
              </w:rPr>
              <w:t>.</w:t>
            </w:r>
            <w:r w:rsidRPr="000D5DB9">
              <w:rPr>
                <w:rFonts w:cstheme="minorHAnsi"/>
                <w:b/>
                <w:i/>
                <w:color w:val="333333"/>
              </w:rPr>
              <w:t>”</w:t>
            </w:r>
            <w:r w:rsidR="003B33B2" w:rsidRPr="000D5DB9">
              <w:rPr>
                <w:rFonts w:ascii="Arial" w:hAnsi="Arial" w:cs="Arial"/>
                <w:b/>
                <w:i/>
                <w:color w:val="414042"/>
                <w:shd w:val="clear" w:color="auto" w:fill="FFFFFF"/>
              </w:rPr>
              <w:t> </w:t>
            </w:r>
            <w:r w:rsidR="001F2004" w:rsidRPr="000D5DB9">
              <w:rPr>
                <w:rFonts w:cstheme="minorHAnsi"/>
                <w:color w:val="414042"/>
                <w:shd w:val="clear" w:color="auto" w:fill="FFFFFF"/>
              </w:rPr>
              <w:t>(</w:t>
            </w:r>
            <w:r w:rsidR="004C5A05" w:rsidRPr="000D5DB9">
              <w:rPr>
                <w:rFonts w:cstheme="minorHAnsi"/>
                <w:color w:val="414042"/>
                <w:shd w:val="clear" w:color="auto" w:fill="FFFFFF"/>
              </w:rPr>
              <w:t>p.</w:t>
            </w:r>
            <w:r w:rsidR="001F2004" w:rsidRPr="000D5DB9">
              <w:rPr>
                <w:rFonts w:cstheme="minorHAnsi"/>
                <w:color w:val="414042"/>
                <w:shd w:val="clear" w:color="auto" w:fill="FFFFFF"/>
              </w:rPr>
              <w:t xml:space="preserve"> 3)</w:t>
            </w:r>
          </w:p>
          <w:p w14:paraId="0F638A7C" w14:textId="297B5715" w:rsidR="001F2004" w:rsidRPr="000D5DB9" w:rsidRDefault="001F2004" w:rsidP="004C70ED">
            <w:pPr>
              <w:spacing w:after="0" w:line="240" w:lineRule="auto"/>
              <w:rPr>
                <w:rFonts w:eastAsia="Dotum" w:cs="LilyUPC"/>
                <w:sz w:val="23"/>
                <w:szCs w:val="23"/>
              </w:rPr>
            </w:pPr>
            <w:r w:rsidRPr="000D5DB9">
              <w:rPr>
                <w:rFonts w:cstheme="minorHAnsi"/>
                <w:color w:val="222222"/>
                <w:sz w:val="20"/>
                <w:szCs w:val="20"/>
                <w:shd w:val="clear" w:color="auto" w:fill="FFFFFF"/>
              </w:rPr>
              <w:t>Ho, J. &amp; Funk, S.</w:t>
            </w:r>
            <w:r w:rsidR="00A07BC9" w:rsidRPr="000D5DB9">
              <w:rPr>
                <w:rFonts w:cstheme="minorHAnsi"/>
                <w:color w:val="222222"/>
                <w:sz w:val="20"/>
                <w:szCs w:val="20"/>
                <w:shd w:val="clear" w:color="auto" w:fill="FFFFFF"/>
              </w:rPr>
              <w:t xml:space="preserve"> (2018)</w:t>
            </w:r>
            <w:r w:rsidR="004C5A05" w:rsidRPr="000D5DB9">
              <w:rPr>
                <w:rFonts w:cstheme="minorHAnsi"/>
                <w:color w:val="222222"/>
                <w:sz w:val="20"/>
                <w:szCs w:val="20"/>
                <w:shd w:val="clear" w:color="auto" w:fill="FFFFFF"/>
              </w:rPr>
              <w:t>.</w:t>
            </w:r>
            <w:r w:rsidR="00A07BC9" w:rsidRPr="000D5DB9">
              <w:rPr>
                <w:rFonts w:cstheme="minorHAnsi"/>
                <w:color w:val="222222"/>
                <w:sz w:val="20"/>
                <w:szCs w:val="20"/>
                <w:shd w:val="clear" w:color="auto" w:fill="FFFFFF"/>
              </w:rPr>
              <w:t xml:space="preserve"> Promoting young children’s social and emotional health. </w:t>
            </w:r>
            <w:r w:rsidR="00A07BC9" w:rsidRPr="000D5DB9">
              <w:rPr>
                <w:rFonts w:cstheme="minorHAnsi"/>
                <w:i/>
                <w:color w:val="222222"/>
                <w:sz w:val="20"/>
                <w:szCs w:val="20"/>
                <w:shd w:val="clear" w:color="auto" w:fill="FFFFFF"/>
              </w:rPr>
              <w:t>Young Ch</w:t>
            </w:r>
            <w:r w:rsidR="004C5A05" w:rsidRPr="000D5DB9">
              <w:rPr>
                <w:rFonts w:cstheme="minorHAnsi"/>
                <w:i/>
                <w:color w:val="222222"/>
                <w:sz w:val="20"/>
                <w:szCs w:val="20"/>
                <w:shd w:val="clear" w:color="auto" w:fill="FFFFFF"/>
              </w:rPr>
              <w:t>i</w:t>
            </w:r>
            <w:r w:rsidR="00A07BC9" w:rsidRPr="000D5DB9">
              <w:rPr>
                <w:rFonts w:cstheme="minorHAnsi"/>
                <w:i/>
                <w:color w:val="222222"/>
                <w:sz w:val="20"/>
                <w:szCs w:val="20"/>
                <w:shd w:val="clear" w:color="auto" w:fill="FFFFFF"/>
              </w:rPr>
              <w:t>ldren, 73</w:t>
            </w:r>
            <w:r w:rsidR="00A07BC9" w:rsidRPr="000D5DB9">
              <w:rPr>
                <w:rFonts w:cstheme="minorHAnsi"/>
                <w:color w:val="222222"/>
                <w:sz w:val="20"/>
                <w:szCs w:val="20"/>
                <w:shd w:val="clear" w:color="auto" w:fill="FFFFFF"/>
              </w:rPr>
              <w:t xml:space="preserve">(1). </w:t>
            </w:r>
            <w:hyperlink r:id="rId8" w:anchor="activities" w:history="1">
              <w:r w:rsidR="004C5A05" w:rsidRPr="000D5DB9">
                <w:rPr>
                  <w:rStyle w:val="Hyperlink"/>
                  <w:rFonts w:cstheme="minorHAnsi"/>
                  <w:b/>
                  <w:sz w:val="20"/>
                  <w:szCs w:val="20"/>
                  <w:u w:val="none"/>
                  <w:shd w:val="clear" w:color="auto" w:fill="FFFFFF"/>
                </w:rPr>
                <w:t>https://www.naeyc.org/resources/pubs/yc/mar2018/promoting-social-and-emotional-health#activities</w:t>
              </w:r>
            </w:hyperlink>
            <w:r w:rsidR="004C5A05" w:rsidRPr="000D5DB9">
              <w:rPr>
                <w:rFonts w:cstheme="minorHAnsi"/>
                <w:color w:val="222222"/>
                <w:sz w:val="20"/>
                <w:szCs w:val="20"/>
                <w:shd w:val="clear" w:color="auto" w:fill="FFFFFF"/>
              </w:rPr>
              <w:t xml:space="preserve"> </w:t>
            </w:r>
          </w:p>
        </w:tc>
      </w:tr>
      <w:tr w:rsidR="004C70ED" w:rsidRPr="004C70ED" w14:paraId="4D8E9BCA" w14:textId="77777777" w:rsidTr="00DB1AAA">
        <w:trPr>
          <w:trHeight w:val="683"/>
        </w:trPr>
        <w:tc>
          <w:tcPr>
            <w:tcW w:w="2160" w:type="dxa"/>
            <w:vAlign w:val="center"/>
          </w:tcPr>
          <w:p w14:paraId="24598FC8" w14:textId="43F5F422" w:rsidR="004C70ED" w:rsidRPr="004A4EC8" w:rsidRDefault="00DB1AAA" w:rsidP="00DB1AAA">
            <w:pPr>
              <w:spacing w:after="0" w:line="240" w:lineRule="auto"/>
              <w:jc w:val="center"/>
              <w:rPr>
                <w:rFonts w:eastAsia="Dotum" w:cstheme="minorHAnsi"/>
                <w:noProof/>
                <w:sz w:val="23"/>
                <w:szCs w:val="23"/>
              </w:rPr>
            </w:pPr>
            <w:r>
              <w:rPr>
                <w:rFonts w:eastAsia="Dotum" w:cstheme="minorHAnsi"/>
                <w:noProof/>
                <w:sz w:val="23"/>
                <w:szCs w:val="23"/>
              </w:rPr>
              <w:t>Creating safe and predictable routines helps children feel safe, secure, and comfortable.</w:t>
            </w:r>
          </w:p>
        </w:tc>
        <w:tc>
          <w:tcPr>
            <w:tcW w:w="8820" w:type="dxa"/>
            <w:vAlign w:val="center"/>
          </w:tcPr>
          <w:p w14:paraId="62ED9CCD" w14:textId="645FF324" w:rsidR="004C70ED" w:rsidRPr="000D5DB9" w:rsidRDefault="00B8029A" w:rsidP="004C70ED">
            <w:pPr>
              <w:spacing w:after="0" w:line="240" w:lineRule="auto"/>
              <w:textAlignment w:val="baseline"/>
              <w:rPr>
                <w:rFonts w:ascii="Arial" w:hAnsi="Arial" w:cs="Arial"/>
                <w:b/>
                <w:i/>
                <w:sz w:val="20"/>
                <w:szCs w:val="23"/>
              </w:rPr>
            </w:pPr>
            <w:r w:rsidRPr="000D5DB9">
              <w:rPr>
                <w:rFonts w:cstheme="minorHAnsi"/>
                <w:b/>
                <w:i/>
                <w:color w:val="333333"/>
                <w:szCs w:val="17"/>
              </w:rPr>
              <w:t>“</w:t>
            </w:r>
            <w:r w:rsidR="00A07BC9" w:rsidRPr="000D5DB9">
              <w:rPr>
                <w:rFonts w:cstheme="minorHAnsi"/>
                <w:b/>
                <w:i/>
                <w:color w:val="333333"/>
                <w:szCs w:val="17"/>
              </w:rPr>
              <w:t xml:space="preserve">Preschool children flourish in a positive, trusting building environment </w:t>
            </w:r>
            <w:r w:rsidR="001C775D" w:rsidRPr="000D5DB9">
              <w:rPr>
                <w:rFonts w:cstheme="minorHAnsi"/>
                <w:b/>
                <w:i/>
                <w:color w:val="333333"/>
                <w:szCs w:val="17"/>
              </w:rPr>
              <w:t xml:space="preserve">this </w:t>
            </w:r>
            <w:r w:rsidR="00A07BC9" w:rsidRPr="000D5DB9">
              <w:rPr>
                <w:rFonts w:cstheme="minorHAnsi"/>
                <w:b/>
                <w:i/>
                <w:color w:val="333333"/>
                <w:szCs w:val="17"/>
              </w:rPr>
              <w:t>environment includes: a daily schedule</w:t>
            </w:r>
            <w:r w:rsidR="001C775D" w:rsidRPr="000D5DB9">
              <w:rPr>
                <w:rFonts w:cstheme="minorHAnsi"/>
                <w:b/>
                <w:i/>
                <w:color w:val="333333"/>
                <w:szCs w:val="17"/>
              </w:rPr>
              <w:t>,</w:t>
            </w:r>
            <w:r w:rsidR="00A07BC9" w:rsidRPr="000D5DB9">
              <w:rPr>
                <w:rFonts w:cstheme="minorHAnsi"/>
                <w:b/>
                <w:i/>
                <w:color w:val="333333"/>
                <w:szCs w:val="17"/>
              </w:rPr>
              <w:t xml:space="preserve"> an orderly classroom arrang</w:t>
            </w:r>
            <w:r w:rsidR="001C775D" w:rsidRPr="000D5DB9">
              <w:rPr>
                <w:rFonts w:cstheme="minorHAnsi"/>
                <w:b/>
                <w:i/>
                <w:color w:val="333333"/>
                <w:szCs w:val="17"/>
              </w:rPr>
              <w:t>em</w:t>
            </w:r>
            <w:r w:rsidR="00A07BC9" w:rsidRPr="000D5DB9">
              <w:rPr>
                <w:rFonts w:cstheme="minorHAnsi"/>
                <w:b/>
                <w:i/>
                <w:color w:val="333333"/>
                <w:szCs w:val="17"/>
              </w:rPr>
              <w:t>ent</w:t>
            </w:r>
            <w:r w:rsidR="001C775D" w:rsidRPr="000D5DB9">
              <w:rPr>
                <w:rFonts w:cstheme="minorHAnsi"/>
                <w:b/>
                <w:i/>
                <w:color w:val="333333"/>
                <w:szCs w:val="17"/>
              </w:rPr>
              <w:t>,</w:t>
            </w:r>
            <w:r w:rsidR="00A07BC9" w:rsidRPr="000D5DB9">
              <w:rPr>
                <w:rFonts w:cstheme="minorHAnsi"/>
                <w:b/>
                <w:i/>
                <w:color w:val="333333"/>
                <w:szCs w:val="17"/>
              </w:rPr>
              <w:t xml:space="preserve"> respect between both teacher and students, and clear open communication between the student, parent, and teacher</w:t>
            </w:r>
            <w:r w:rsidRPr="000D5DB9">
              <w:rPr>
                <w:rFonts w:cstheme="minorHAnsi"/>
                <w:b/>
                <w:i/>
                <w:color w:val="333333"/>
                <w:szCs w:val="17"/>
              </w:rPr>
              <w:t>.</w:t>
            </w:r>
            <w:r w:rsidR="001C775D" w:rsidRPr="000D5DB9">
              <w:rPr>
                <w:rFonts w:cstheme="minorHAnsi"/>
                <w:b/>
                <w:i/>
                <w:color w:val="333333"/>
                <w:szCs w:val="17"/>
              </w:rPr>
              <w:t>”</w:t>
            </w:r>
            <w:r w:rsidR="00A07BC9" w:rsidRPr="000D5DB9">
              <w:rPr>
                <w:rFonts w:ascii="Arial" w:hAnsi="Arial" w:cs="Arial"/>
                <w:b/>
                <w:i/>
                <w:sz w:val="18"/>
                <w:szCs w:val="23"/>
              </w:rPr>
              <w:t xml:space="preserve"> </w:t>
            </w:r>
            <w:r w:rsidRPr="000D5DB9">
              <w:rPr>
                <w:rFonts w:ascii="Arial" w:hAnsi="Arial" w:cs="Arial"/>
                <w:sz w:val="18"/>
                <w:szCs w:val="23"/>
              </w:rPr>
              <w:t xml:space="preserve">(p. 8) </w:t>
            </w:r>
          </w:p>
          <w:p w14:paraId="0692ECAF" w14:textId="7F3FA072" w:rsidR="00A07BC9" w:rsidRPr="000D5DB9" w:rsidRDefault="00A07BC9" w:rsidP="004C70ED">
            <w:pPr>
              <w:spacing w:after="0" w:line="240" w:lineRule="auto"/>
              <w:textAlignment w:val="baseline"/>
              <w:rPr>
                <w:rFonts w:ascii="Arial" w:eastAsia="Times New Roman" w:hAnsi="Arial" w:cs="Arial"/>
                <w:b/>
                <w:sz w:val="20"/>
              </w:rPr>
            </w:pPr>
            <w:proofErr w:type="spellStart"/>
            <w:r w:rsidRPr="000D5DB9">
              <w:rPr>
                <w:rFonts w:cstheme="minorHAnsi"/>
                <w:color w:val="222222"/>
                <w:sz w:val="20"/>
                <w:szCs w:val="20"/>
                <w:shd w:val="clear" w:color="auto" w:fill="FFFFFF"/>
              </w:rPr>
              <w:t>DeMeulenaere</w:t>
            </w:r>
            <w:proofErr w:type="spellEnd"/>
            <w:r w:rsidRPr="000D5DB9">
              <w:rPr>
                <w:rFonts w:cstheme="minorHAnsi"/>
                <w:color w:val="222222"/>
                <w:sz w:val="20"/>
                <w:szCs w:val="20"/>
                <w:shd w:val="clear" w:color="auto" w:fill="FFFFFF"/>
              </w:rPr>
              <w:t>, M. (2015). Promoting social and emotional learning in preschool. </w:t>
            </w:r>
            <w:r w:rsidR="001C775D" w:rsidRPr="000D5DB9">
              <w:rPr>
                <w:rFonts w:cstheme="minorHAnsi"/>
                <w:i/>
                <w:color w:val="222222"/>
                <w:sz w:val="20"/>
                <w:szCs w:val="20"/>
                <w:shd w:val="clear" w:color="auto" w:fill="FFFFFF"/>
              </w:rPr>
              <w:t>Dimensions of Early Childhood, 43</w:t>
            </w:r>
            <w:r w:rsidR="001C775D" w:rsidRPr="000D5DB9">
              <w:rPr>
                <w:rFonts w:cstheme="minorHAnsi"/>
                <w:color w:val="222222"/>
                <w:sz w:val="20"/>
                <w:szCs w:val="20"/>
                <w:shd w:val="clear" w:color="auto" w:fill="FFFFFF"/>
              </w:rPr>
              <w:t>(1), pp 8-10</w:t>
            </w:r>
            <w:r w:rsidRPr="000D5DB9">
              <w:rPr>
                <w:rFonts w:cstheme="minorHAnsi"/>
                <w:color w:val="222222"/>
                <w:sz w:val="20"/>
                <w:szCs w:val="20"/>
                <w:shd w:val="clear" w:color="auto" w:fill="FFFFFF"/>
              </w:rPr>
              <w:t>.</w:t>
            </w:r>
            <w:r w:rsidR="001C775D" w:rsidRPr="000D5DB9">
              <w:rPr>
                <w:rFonts w:cstheme="minorHAnsi"/>
                <w:color w:val="222222"/>
                <w:sz w:val="20"/>
                <w:szCs w:val="20"/>
                <w:shd w:val="clear" w:color="auto" w:fill="FFFFFF"/>
              </w:rPr>
              <w:t xml:space="preserve"> </w:t>
            </w:r>
            <w:hyperlink r:id="rId9" w:history="1">
              <w:r w:rsidR="00B8029A" w:rsidRPr="000D5DB9">
                <w:rPr>
                  <w:rStyle w:val="Hyperlink"/>
                  <w:b/>
                  <w:sz w:val="20"/>
                  <w:u w:val="none"/>
                </w:rPr>
                <w:t>https://www.southernearlychildhood.org/upload/pdf/DeMeulenaere_43_1.pdf</w:t>
              </w:r>
            </w:hyperlink>
          </w:p>
        </w:tc>
      </w:tr>
      <w:tr w:rsidR="00B8029A" w:rsidRPr="004C70ED" w14:paraId="301C618A" w14:textId="77777777" w:rsidTr="00F80362">
        <w:tc>
          <w:tcPr>
            <w:tcW w:w="2160" w:type="dxa"/>
            <w:vAlign w:val="center"/>
          </w:tcPr>
          <w:p w14:paraId="2D617558" w14:textId="77777777" w:rsidR="00B8029A" w:rsidRPr="007A6668" w:rsidRDefault="00B8029A" w:rsidP="00F80362">
            <w:pPr>
              <w:spacing w:after="0" w:line="240" w:lineRule="auto"/>
              <w:jc w:val="center"/>
              <w:rPr>
                <w:rFonts w:ascii="Calibri" w:eastAsia="Dotum" w:hAnsi="Calibri" w:cs="LilyUPC"/>
                <w:sz w:val="23"/>
                <w:szCs w:val="23"/>
                <w:highlight w:val="yellow"/>
              </w:rPr>
            </w:pPr>
            <w:r w:rsidRPr="00892499">
              <w:rPr>
                <w:rFonts w:eastAsia="Dotum" w:cstheme="minorHAnsi"/>
                <w:sz w:val="23"/>
                <w:szCs w:val="23"/>
              </w:rPr>
              <w:t>Support from teachers can make a great difference in whether children with disabilities get to play with peers.</w:t>
            </w:r>
          </w:p>
        </w:tc>
        <w:tc>
          <w:tcPr>
            <w:tcW w:w="8820" w:type="dxa"/>
            <w:vAlign w:val="center"/>
          </w:tcPr>
          <w:p w14:paraId="0EDF85CA" w14:textId="77822F89" w:rsidR="00B8029A" w:rsidRPr="000D5DB9" w:rsidRDefault="00B8029A" w:rsidP="00F80362">
            <w:pPr>
              <w:spacing w:after="0" w:line="240" w:lineRule="auto"/>
              <w:rPr>
                <w:rFonts w:ascii="Calibri" w:eastAsia="Dotum" w:hAnsi="Calibri" w:cs="LilyUPC"/>
                <w:b/>
                <w:szCs w:val="24"/>
              </w:rPr>
            </w:pPr>
            <w:r w:rsidRPr="000D5DB9">
              <w:rPr>
                <w:rFonts w:cstheme="minorHAnsi"/>
                <w:b/>
                <w:i/>
                <w:color w:val="333333"/>
              </w:rPr>
              <w:t>“It is the responsibility of educational professionals to make sure that . . . all children feel accepted, regardless of their differing abilities. For this goal to be achieved, under-standing what children think about their peers with disabilities and how their thoughts and ideas affect their play interactions is an important step in promoting social acceptance of, and interactions with, peers with disabilities.</w:t>
            </w:r>
            <w:r w:rsidRPr="000D5DB9">
              <w:t xml:space="preserve"> “</w:t>
            </w:r>
            <w:r w:rsidRPr="000D5DB9">
              <w:rPr>
                <w:rFonts w:cstheme="minorHAnsi"/>
                <w:color w:val="333333"/>
              </w:rPr>
              <w:t>(p. 50)</w:t>
            </w:r>
            <w:r w:rsidRPr="000D5DB9">
              <w:rPr>
                <w:rFonts w:ascii="Calibri" w:eastAsia="Calibri" w:hAnsi="Calibri" w:cs="Times New Roman"/>
                <w:b/>
              </w:rPr>
              <w:t xml:space="preserve"> </w:t>
            </w:r>
            <w:hyperlink r:id="rId10" w:history="1">
              <w:r w:rsidRPr="000D5DB9">
                <w:rPr>
                  <w:rStyle w:val="Hyperlink"/>
                  <w:rFonts w:cstheme="minorHAnsi"/>
                  <w:b/>
                  <w:sz w:val="20"/>
                  <w:u w:val="none"/>
                </w:rPr>
                <w:t>https://doi.org/10.1177/0271121414554432</w:t>
              </w:r>
            </w:hyperlink>
          </w:p>
        </w:tc>
      </w:tr>
      <w:tr w:rsidR="00246836" w:rsidRPr="004C70ED" w14:paraId="31428226" w14:textId="77777777" w:rsidTr="00DB1AAA">
        <w:trPr>
          <w:trHeight w:val="1151"/>
        </w:trPr>
        <w:tc>
          <w:tcPr>
            <w:tcW w:w="2160" w:type="dxa"/>
          </w:tcPr>
          <w:p w14:paraId="4ECE486E" w14:textId="381B0AAC" w:rsidR="00246836" w:rsidRPr="004A4EC8" w:rsidRDefault="00DB1AAA" w:rsidP="005E6FE3">
            <w:pPr>
              <w:spacing w:after="0" w:line="240" w:lineRule="auto"/>
              <w:jc w:val="center"/>
              <w:rPr>
                <w:rFonts w:eastAsia="Dotum" w:cstheme="minorHAnsi"/>
                <w:noProof/>
                <w:sz w:val="23"/>
                <w:szCs w:val="23"/>
              </w:rPr>
            </w:pPr>
            <w:r>
              <w:rPr>
                <w:rFonts w:eastAsia="Dotum" w:cstheme="minorHAnsi"/>
                <w:noProof/>
                <w:sz w:val="23"/>
                <w:szCs w:val="23"/>
              </w:rPr>
              <w:t>Play allows for real-world experiences to reinforce positive social skills.</w:t>
            </w:r>
          </w:p>
        </w:tc>
        <w:tc>
          <w:tcPr>
            <w:tcW w:w="8820" w:type="dxa"/>
            <w:vAlign w:val="center"/>
          </w:tcPr>
          <w:p w14:paraId="5ABD751B" w14:textId="66A331C4" w:rsidR="00246836" w:rsidRPr="00833990" w:rsidRDefault="00833990" w:rsidP="005E6FE3">
            <w:pPr>
              <w:spacing w:after="0" w:line="240" w:lineRule="auto"/>
              <w:textAlignment w:val="baseline"/>
              <w:rPr>
                <w:rFonts w:ascii="Calibri" w:eastAsia="Calibri" w:hAnsi="Calibri" w:cs="Calibri"/>
                <w:b/>
                <w:bCs/>
                <w:i/>
                <w:sz w:val="24"/>
                <w:szCs w:val="24"/>
              </w:rPr>
            </w:pPr>
            <w:r w:rsidRPr="00833990">
              <w:rPr>
                <w:b/>
                <w:i/>
              </w:rPr>
              <w:t xml:space="preserve">Play is a natural way for children to connect and relate to each other. As they engage in various types of play and through the social stages of play children from infancy work to develop social skills as they play. </w:t>
            </w:r>
            <w:hyperlink r:id="rId11" w:history="1">
              <w:r w:rsidRPr="00B8029A">
                <w:rPr>
                  <w:rStyle w:val="Hyperlink"/>
                  <w:b/>
                  <w:sz w:val="20"/>
                  <w:u w:val="none"/>
                </w:rPr>
                <w:t>https://www.encourageplay.com/open-ended-play</w:t>
              </w:r>
            </w:hyperlink>
          </w:p>
        </w:tc>
      </w:tr>
      <w:tr w:rsidR="00246836" w:rsidRPr="004C70ED" w14:paraId="49E3E742" w14:textId="77777777" w:rsidTr="00DB1AAA">
        <w:trPr>
          <w:trHeight w:val="1349"/>
        </w:trPr>
        <w:tc>
          <w:tcPr>
            <w:tcW w:w="2160" w:type="dxa"/>
            <w:vAlign w:val="center"/>
          </w:tcPr>
          <w:p w14:paraId="5F87B083" w14:textId="086731B4" w:rsidR="00246836" w:rsidRPr="004A4EC8" w:rsidRDefault="00DB1AAA" w:rsidP="005E6FE3">
            <w:pPr>
              <w:spacing w:after="0" w:line="240" w:lineRule="auto"/>
              <w:jc w:val="center"/>
              <w:rPr>
                <w:rFonts w:eastAsia="Dotum" w:cstheme="minorHAnsi"/>
                <w:noProof/>
                <w:sz w:val="23"/>
                <w:szCs w:val="23"/>
              </w:rPr>
            </w:pPr>
            <w:r>
              <w:rPr>
                <w:rFonts w:eastAsia="Dotum" w:cstheme="minorHAnsi"/>
                <w:noProof/>
                <w:sz w:val="23"/>
                <w:szCs w:val="23"/>
              </w:rPr>
              <w:t>Creating an environ</w:t>
            </w:r>
            <w:r w:rsidR="001B4C79">
              <w:rPr>
                <w:rFonts w:eastAsia="Dotum" w:cstheme="minorHAnsi"/>
                <w:noProof/>
                <w:sz w:val="23"/>
                <w:szCs w:val="23"/>
              </w:rPr>
              <w:t>-</w:t>
            </w:r>
            <w:r>
              <w:rPr>
                <w:rFonts w:eastAsia="Dotum" w:cstheme="minorHAnsi"/>
                <w:noProof/>
                <w:sz w:val="23"/>
                <w:szCs w:val="23"/>
              </w:rPr>
              <w:t>ment that helps children explore their physical body and take risks supports emotional development</w:t>
            </w:r>
          </w:p>
        </w:tc>
        <w:tc>
          <w:tcPr>
            <w:tcW w:w="8820" w:type="dxa"/>
            <w:vAlign w:val="center"/>
          </w:tcPr>
          <w:p w14:paraId="40D7914A" w14:textId="1BDBC9C8" w:rsidR="005345B1" w:rsidRPr="00B8029A" w:rsidRDefault="005345B1" w:rsidP="005E6FE3">
            <w:pPr>
              <w:spacing w:after="0" w:line="240" w:lineRule="auto"/>
              <w:rPr>
                <w:rFonts w:cstheme="minorHAnsi"/>
                <w:b/>
                <w:i/>
                <w:color w:val="222222"/>
                <w:szCs w:val="20"/>
                <w:shd w:val="clear" w:color="auto" w:fill="FFFFFF"/>
              </w:rPr>
            </w:pPr>
            <w:r w:rsidRPr="00B8029A">
              <w:rPr>
                <w:rFonts w:cstheme="minorHAnsi"/>
                <w:b/>
                <w:i/>
                <w:color w:val="222222"/>
                <w:szCs w:val="20"/>
                <w:shd w:val="clear" w:color="auto" w:fill="FFFFFF"/>
              </w:rPr>
              <w:t>The inclusion of rough and tumble play and risk as elements of pl</w:t>
            </w:r>
            <w:r w:rsidR="0091360E">
              <w:rPr>
                <w:rFonts w:cstheme="minorHAnsi"/>
                <w:b/>
                <w:i/>
                <w:color w:val="222222"/>
                <w:szCs w:val="20"/>
                <w:shd w:val="clear" w:color="auto" w:fill="FFFFFF"/>
              </w:rPr>
              <w:t>a</w:t>
            </w:r>
            <w:r w:rsidRPr="00B8029A">
              <w:rPr>
                <w:rFonts w:cstheme="minorHAnsi"/>
                <w:b/>
                <w:i/>
                <w:color w:val="222222"/>
                <w:szCs w:val="20"/>
                <w:shd w:val="clear" w:color="auto" w:fill="FFFFFF"/>
              </w:rPr>
              <w:t>y for young children support social and emotional development children learn to assess risks, learn the limits of their bodies, and learn how to respond to others in the play.</w:t>
            </w:r>
          </w:p>
          <w:p w14:paraId="738B8115" w14:textId="0D62A914" w:rsidR="00246836" w:rsidRPr="00B8029A" w:rsidRDefault="005345B1" w:rsidP="005E6FE3">
            <w:pPr>
              <w:spacing w:after="0" w:line="240" w:lineRule="auto"/>
              <w:rPr>
                <w:rFonts w:eastAsia="Dotum" w:cstheme="minorHAnsi"/>
              </w:rPr>
            </w:pPr>
            <w:proofErr w:type="spellStart"/>
            <w:r w:rsidRPr="00B8029A">
              <w:rPr>
                <w:rFonts w:cstheme="minorHAnsi"/>
                <w:color w:val="222222"/>
                <w:shd w:val="clear" w:color="auto" w:fill="FFFFFF"/>
              </w:rPr>
              <w:t>Tannock</w:t>
            </w:r>
            <w:proofErr w:type="spellEnd"/>
            <w:r w:rsidRPr="00B8029A">
              <w:rPr>
                <w:rFonts w:cstheme="minorHAnsi"/>
                <w:color w:val="222222"/>
                <w:shd w:val="clear" w:color="auto" w:fill="FFFFFF"/>
              </w:rPr>
              <w:t>, M. T. (2008). Rough and tumble play: An investigation of the perceptions of educators and young children. </w:t>
            </w:r>
            <w:r w:rsidRPr="00B8029A">
              <w:rPr>
                <w:rFonts w:cstheme="minorHAnsi"/>
                <w:i/>
                <w:iCs/>
                <w:color w:val="222222"/>
                <w:shd w:val="clear" w:color="auto" w:fill="FFFFFF"/>
              </w:rPr>
              <w:t>Early Childhood Education Journal</w:t>
            </w:r>
            <w:r w:rsidRPr="00B8029A">
              <w:rPr>
                <w:rFonts w:cstheme="minorHAnsi"/>
                <w:i/>
                <w:color w:val="222222"/>
                <w:shd w:val="clear" w:color="auto" w:fill="FFFFFF"/>
              </w:rPr>
              <w:t>, </w:t>
            </w:r>
            <w:r w:rsidRPr="00B8029A">
              <w:rPr>
                <w:rFonts w:cstheme="minorHAnsi"/>
                <w:i/>
                <w:iCs/>
                <w:color w:val="222222"/>
                <w:shd w:val="clear" w:color="auto" w:fill="FFFFFF"/>
              </w:rPr>
              <w:t>35</w:t>
            </w:r>
            <w:r w:rsidRPr="00B8029A">
              <w:rPr>
                <w:rFonts w:cstheme="minorHAnsi"/>
                <w:color w:val="222222"/>
                <w:shd w:val="clear" w:color="auto" w:fill="FFFFFF"/>
              </w:rPr>
              <w:t>(4), 357-361.</w:t>
            </w:r>
            <w:r w:rsidR="00B8029A">
              <w:rPr>
                <w:rFonts w:cstheme="minorHAnsi"/>
                <w:color w:val="222222"/>
                <w:shd w:val="clear" w:color="auto" w:fill="FFFFFF"/>
              </w:rPr>
              <w:t xml:space="preserve"> </w:t>
            </w:r>
            <w:hyperlink r:id="rId12" w:history="1">
              <w:r w:rsidR="00B8029A" w:rsidRPr="00B8029A">
                <w:rPr>
                  <w:rStyle w:val="Hyperlink"/>
                  <w:rFonts w:cstheme="minorHAnsi"/>
                  <w:b/>
                  <w:u w:val="none"/>
                </w:rPr>
                <w:t>https://search.proquest.com/docview/228485799?pq-origsite=gscholar</w:t>
              </w:r>
            </w:hyperlink>
          </w:p>
        </w:tc>
      </w:tr>
      <w:tr w:rsidR="004C70ED" w:rsidRPr="004C70ED" w14:paraId="22BBA500" w14:textId="77777777" w:rsidTr="00DB1AAA">
        <w:trPr>
          <w:trHeight w:val="1079"/>
        </w:trPr>
        <w:tc>
          <w:tcPr>
            <w:tcW w:w="2160" w:type="dxa"/>
            <w:vAlign w:val="center"/>
          </w:tcPr>
          <w:p w14:paraId="72FB6048" w14:textId="158F5E98" w:rsidR="004C70ED" w:rsidRPr="004A4EC8" w:rsidRDefault="00E3369E" w:rsidP="004C70ED">
            <w:pPr>
              <w:spacing w:after="0" w:line="240" w:lineRule="auto"/>
              <w:jc w:val="center"/>
              <w:rPr>
                <w:rFonts w:eastAsia="Dotum" w:cstheme="minorHAnsi"/>
                <w:noProof/>
                <w:sz w:val="23"/>
                <w:szCs w:val="23"/>
              </w:rPr>
            </w:pPr>
            <w:r w:rsidRPr="00E3369E">
              <w:rPr>
                <w:rFonts w:eastAsia="Dotum" w:cstheme="minorHAnsi"/>
                <w:sz w:val="23"/>
                <w:szCs w:val="23"/>
              </w:rPr>
              <w:t>Mindfulness refers to repetitive, prescriptive breathing and movement</w:t>
            </w:r>
            <w:r w:rsidR="009A5C0C">
              <w:rPr>
                <w:rFonts w:eastAsia="Dotum" w:cstheme="minorHAnsi"/>
                <w:sz w:val="23"/>
                <w:szCs w:val="23"/>
              </w:rPr>
              <w:t>s</w:t>
            </w:r>
            <w:r w:rsidRPr="00E3369E">
              <w:rPr>
                <w:rFonts w:eastAsia="Dotum" w:cstheme="minorHAnsi"/>
                <w:sz w:val="23"/>
                <w:szCs w:val="23"/>
              </w:rPr>
              <w:t>.</w:t>
            </w:r>
          </w:p>
        </w:tc>
        <w:tc>
          <w:tcPr>
            <w:tcW w:w="8820" w:type="dxa"/>
            <w:vAlign w:val="center"/>
          </w:tcPr>
          <w:p w14:paraId="0574FA9E" w14:textId="28D5C8B3" w:rsidR="004C70ED" w:rsidRDefault="00B8029A" w:rsidP="003E598A">
            <w:pPr>
              <w:autoSpaceDE w:val="0"/>
              <w:autoSpaceDN w:val="0"/>
              <w:adjustRightInd w:val="0"/>
              <w:spacing w:after="0" w:line="240" w:lineRule="auto"/>
              <w:rPr>
                <w:rFonts w:cstheme="minorHAnsi"/>
                <w:color w:val="333333"/>
                <w:szCs w:val="17"/>
              </w:rPr>
            </w:pPr>
            <w:r>
              <w:rPr>
                <w:rFonts w:cstheme="minorHAnsi"/>
                <w:b/>
                <w:i/>
                <w:color w:val="333333"/>
                <w:szCs w:val="17"/>
              </w:rPr>
              <w:t>“</w:t>
            </w:r>
            <w:r w:rsidR="003E598A" w:rsidRPr="00B8029A">
              <w:rPr>
                <w:rFonts w:cstheme="minorHAnsi"/>
                <w:b/>
                <w:i/>
                <w:color w:val="333333"/>
                <w:szCs w:val="17"/>
              </w:rPr>
              <w:t>When fostering mindfulness activities, practitioners will want to focus on engaging students’ imagination, creativity, and playfulness as opposed to rigid attention to</w:t>
            </w:r>
            <w:r w:rsidR="000D5DB9">
              <w:rPr>
                <w:rFonts w:cstheme="minorHAnsi"/>
                <w:b/>
                <w:i/>
                <w:color w:val="333333"/>
                <w:szCs w:val="17"/>
              </w:rPr>
              <w:t xml:space="preserve"> </w:t>
            </w:r>
            <w:r w:rsidR="003E598A" w:rsidRPr="00B8029A">
              <w:rPr>
                <w:rFonts w:cstheme="minorHAnsi"/>
                <w:b/>
                <w:i/>
                <w:color w:val="333333"/>
                <w:szCs w:val="17"/>
              </w:rPr>
              <w:t>prescribed physical movements. Within an early childhood context, mindfulness can be thought of as an observable sense of engagement and joy during moments of connection with oneself, the environment, materials, or others.</w:t>
            </w:r>
            <w:r>
              <w:rPr>
                <w:rFonts w:cstheme="minorHAnsi"/>
                <w:b/>
                <w:i/>
                <w:color w:val="333333"/>
                <w:szCs w:val="17"/>
              </w:rPr>
              <w:t>”</w:t>
            </w:r>
            <w:r w:rsidR="00CE54D3" w:rsidRPr="00B8029A">
              <w:rPr>
                <w:rFonts w:cstheme="minorHAnsi"/>
                <w:b/>
                <w:i/>
                <w:color w:val="333333"/>
                <w:szCs w:val="17"/>
              </w:rPr>
              <w:t xml:space="preserve"> </w:t>
            </w:r>
            <w:r w:rsidR="00CE54D3" w:rsidRPr="00CE54D3">
              <w:rPr>
                <w:rFonts w:cstheme="minorHAnsi"/>
                <w:color w:val="333333"/>
                <w:szCs w:val="17"/>
              </w:rPr>
              <w:t>(p. 6)</w:t>
            </w:r>
          </w:p>
          <w:p w14:paraId="77FC3CF6" w14:textId="5DE3DC1D" w:rsidR="00B8029A" w:rsidRPr="000D5DB9" w:rsidRDefault="00F83E62" w:rsidP="003E598A">
            <w:pPr>
              <w:autoSpaceDE w:val="0"/>
              <w:autoSpaceDN w:val="0"/>
              <w:adjustRightInd w:val="0"/>
              <w:spacing w:after="0" w:line="240" w:lineRule="auto"/>
              <w:rPr>
                <w:rFonts w:cstheme="minorHAnsi"/>
                <w:color w:val="333333"/>
                <w:szCs w:val="17"/>
              </w:rPr>
            </w:pPr>
            <w:hyperlink r:id="rId13" w:history="1">
              <w:r w:rsidR="000D5DB9" w:rsidRPr="00B8029A">
                <w:rPr>
                  <w:rStyle w:val="Hyperlink"/>
                  <w:rFonts w:ascii="Calibri" w:eastAsia="Dotum" w:hAnsi="Calibri" w:cs="LilyUPC"/>
                  <w:b/>
                  <w:sz w:val="20"/>
                  <w:szCs w:val="24"/>
                  <w:u w:val="none"/>
                </w:rPr>
                <w:t>https://doi.org/10.1177/1096250615593326</w:t>
              </w:r>
            </w:hyperlink>
          </w:p>
        </w:tc>
      </w:tr>
    </w:tbl>
    <w:p w14:paraId="0D0B940D" w14:textId="77777777" w:rsidR="009F7C7E" w:rsidRPr="004C70ED" w:rsidRDefault="009F7C7E" w:rsidP="004C70ED"/>
    <w:sectPr w:rsidR="009F7C7E" w:rsidRPr="004C70ED" w:rsidSect="00520AB9">
      <w:headerReference w:type="even" r:id="rId14"/>
      <w:headerReference w:type="default" r:id="rId15"/>
      <w:footerReference w:type="even" r:id="rId16"/>
      <w:footerReference w:type="default" r:id="rId17"/>
      <w:headerReference w:type="first" r:id="rId18"/>
      <w:footerReference w:type="firs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26B12" w14:textId="77777777" w:rsidR="00D71E68" w:rsidRDefault="00D71E68">
      <w:pPr>
        <w:spacing w:after="0" w:line="240" w:lineRule="auto"/>
      </w:pPr>
      <w:r>
        <w:separator/>
      </w:r>
    </w:p>
  </w:endnote>
  <w:endnote w:type="continuationSeparator" w:id="0">
    <w:p w14:paraId="3DD9C80C" w14:textId="77777777" w:rsidR="00D71E68" w:rsidRDefault="00D71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badi">
    <w:altName w:val="Abadi"/>
    <w:charset w:val="00"/>
    <w:family w:val="swiss"/>
    <w:pitch w:val="variable"/>
    <w:sig w:usb0="8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LilyUPC">
    <w:panose1 w:val="020B0604020202020204"/>
    <w:charset w:val="00"/>
    <w:family w:val="swiss"/>
    <w:pitch w:val="variable"/>
    <w:sig w:usb0="01000007" w:usb1="00000002"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6B9AB" w14:textId="77777777" w:rsidR="00892B0E" w:rsidRDefault="00F83E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251269"/>
      <w:docPartObj>
        <w:docPartGallery w:val="Page Numbers (Bottom of Page)"/>
        <w:docPartUnique/>
      </w:docPartObj>
    </w:sdtPr>
    <w:sdtEndPr>
      <w:rPr>
        <w:noProof/>
      </w:rPr>
    </w:sdtEndPr>
    <w:sdtContent>
      <w:p w14:paraId="3D3D22A9" w14:textId="77777777" w:rsidR="00892B0E" w:rsidRDefault="00C25F8C">
        <w:pPr>
          <w:pStyle w:val="Footer"/>
          <w:jc w:val="right"/>
        </w:pPr>
        <w:r>
          <w:fldChar w:fldCharType="begin"/>
        </w:r>
        <w:r>
          <w:instrText xml:space="preserve"> PAGE   \* MERGEFORMAT </w:instrText>
        </w:r>
        <w:r>
          <w:fldChar w:fldCharType="separate"/>
        </w:r>
        <w:r w:rsidR="004C70ED">
          <w:rPr>
            <w:noProof/>
          </w:rPr>
          <w:t>1</w:t>
        </w:r>
        <w:r>
          <w:rPr>
            <w:noProof/>
          </w:rPr>
          <w:fldChar w:fldCharType="end"/>
        </w:r>
      </w:p>
    </w:sdtContent>
  </w:sdt>
  <w:p w14:paraId="3DEEC669" w14:textId="77777777" w:rsidR="00892B0E" w:rsidRDefault="00F83E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892B0E" w:rsidRDefault="00F83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475A66" w14:textId="77777777" w:rsidR="00D71E68" w:rsidRDefault="00D71E68">
      <w:pPr>
        <w:spacing w:after="0" w:line="240" w:lineRule="auto"/>
      </w:pPr>
      <w:r>
        <w:separator/>
      </w:r>
    </w:p>
  </w:footnote>
  <w:footnote w:type="continuationSeparator" w:id="0">
    <w:p w14:paraId="460B9EFE" w14:textId="77777777" w:rsidR="00D71E68" w:rsidRDefault="00D71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61E4C" w14:textId="77777777" w:rsidR="00892B0E" w:rsidRDefault="00F83E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7B00A" w14:textId="77777777" w:rsidR="00892B0E" w:rsidRDefault="00F83E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4D5A5" w14:textId="77777777" w:rsidR="00892B0E" w:rsidRDefault="00F83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51"/>
    <w:rsid w:val="000D5DB9"/>
    <w:rsid w:val="000F484A"/>
    <w:rsid w:val="00136797"/>
    <w:rsid w:val="001B4C79"/>
    <w:rsid w:val="001C775D"/>
    <w:rsid w:val="001F2004"/>
    <w:rsid w:val="00246836"/>
    <w:rsid w:val="003B33B2"/>
    <w:rsid w:val="003D0B0B"/>
    <w:rsid w:val="003E598A"/>
    <w:rsid w:val="004A4EC8"/>
    <w:rsid w:val="004C0F6C"/>
    <w:rsid w:val="004C5A05"/>
    <w:rsid w:val="004C70ED"/>
    <w:rsid w:val="005345B1"/>
    <w:rsid w:val="005834DC"/>
    <w:rsid w:val="00645013"/>
    <w:rsid w:val="007A6668"/>
    <w:rsid w:val="00833990"/>
    <w:rsid w:val="0083797D"/>
    <w:rsid w:val="00892499"/>
    <w:rsid w:val="008D0147"/>
    <w:rsid w:val="0091360E"/>
    <w:rsid w:val="0095624E"/>
    <w:rsid w:val="009A5C0C"/>
    <w:rsid w:val="009F7C7E"/>
    <w:rsid w:val="00A07BC9"/>
    <w:rsid w:val="00AC4E19"/>
    <w:rsid w:val="00B8029A"/>
    <w:rsid w:val="00BD0261"/>
    <w:rsid w:val="00C01DE6"/>
    <w:rsid w:val="00C25F8C"/>
    <w:rsid w:val="00CE54D3"/>
    <w:rsid w:val="00D71E68"/>
    <w:rsid w:val="00DB1AAA"/>
    <w:rsid w:val="00E23451"/>
    <w:rsid w:val="00E3369E"/>
    <w:rsid w:val="00F83E62"/>
    <w:rsid w:val="75FE7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EC44"/>
  <w15:chartTrackingRefBased/>
  <w15:docId w15:val="{78C0B4F6-AD0F-4D7C-9C07-9833393FB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51"/>
    <w:pPr>
      <w:spacing w:after="200" w:line="276" w:lineRule="auto"/>
    </w:pPr>
  </w:style>
  <w:style w:type="paragraph" w:styleId="Heading1">
    <w:name w:val="heading 1"/>
    <w:basedOn w:val="Normal"/>
    <w:next w:val="Normal"/>
    <w:link w:val="Heading1Char"/>
    <w:uiPriority w:val="9"/>
    <w:qFormat/>
    <w:rsid w:val="008379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3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3451"/>
    <w:rPr>
      <w:color w:val="0563C1" w:themeColor="hyperlink"/>
      <w:u w:val="single"/>
    </w:rPr>
  </w:style>
  <w:style w:type="paragraph" w:styleId="Header">
    <w:name w:val="header"/>
    <w:basedOn w:val="Normal"/>
    <w:link w:val="HeaderChar"/>
    <w:uiPriority w:val="99"/>
    <w:unhideWhenUsed/>
    <w:rsid w:val="00E23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451"/>
  </w:style>
  <w:style w:type="paragraph" w:styleId="Footer">
    <w:name w:val="footer"/>
    <w:basedOn w:val="Normal"/>
    <w:link w:val="FooterChar"/>
    <w:uiPriority w:val="99"/>
    <w:unhideWhenUsed/>
    <w:rsid w:val="00E23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451"/>
  </w:style>
  <w:style w:type="table" w:customStyle="1" w:styleId="TableGrid1">
    <w:name w:val="Table Grid1"/>
    <w:basedOn w:val="TableNormal"/>
    <w:next w:val="TableGrid"/>
    <w:uiPriority w:val="59"/>
    <w:rsid w:val="004C70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A4EC8"/>
    <w:rPr>
      <w:color w:val="954F72" w:themeColor="followedHyperlink"/>
      <w:u w:val="single"/>
    </w:rPr>
  </w:style>
  <w:style w:type="character" w:customStyle="1" w:styleId="Heading1Char">
    <w:name w:val="Heading 1 Char"/>
    <w:basedOn w:val="DefaultParagraphFont"/>
    <w:link w:val="Heading1"/>
    <w:uiPriority w:val="9"/>
    <w:rsid w:val="0083797D"/>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1367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568624">
      <w:bodyDiv w:val="1"/>
      <w:marLeft w:val="0"/>
      <w:marRight w:val="0"/>
      <w:marTop w:val="0"/>
      <w:marBottom w:val="0"/>
      <w:divBdr>
        <w:top w:val="none" w:sz="0" w:space="0" w:color="auto"/>
        <w:left w:val="none" w:sz="0" w:space="0" w:color="auto"/>
        <w:bottom w:val="none" w:sz="0" w:space="0" w:color="auto"/>
        <w:right w:val="none" w:sz="0" w:space="0" w:color="auto"/>
      </w:divBdr>
      <w:divsChild>
        <w:div w:id="2025400180">
          <w:marLeft w:val="0"/>
          <w:marRight w:val="0"/>
          <w:marTop w:val="0"/>
          <w:marBottom w:val="0"/>
          <w:divBdr>
            <w:top w:val="none" w:sz="0" w:space="0" w:color="auto"/>
            <w:left w:val="none" w:sz="0" w:space="0" w:color="auto"/>
            <w:bottom w:val="none" w:sz="0" w:space="0" w:color="auto"/>
            <w:right w:val="none" w:sz="0" w:space="0" w:color="auto"/>
          </w:divBdr>
        </w:div>
        <w:div w:id="727924593">
          <w:marLeft w:val="0"/>
          <w:marRight w:val="0"/>
          <w:marTop w:val="0"/>
          <w:marBottom w:val="0"/>
          <w:divBdr>
            <w:top w:val="none" w:sz="0" w:space="0" w:color="auto"/>
            <w:left w:val="none" w:sz="0" w:space="0" w:color="auto"/>
            <w:bottom w:val="none" w:sz="0" w:space="0" w:color="auto"/>
            <w:right w:val="none" w:sz="0" w:space="0" w:color="auto"/>
          </w:divBdr>
        </w:div>
      </w:divsChild>
    </w:div>
    <w:div w:id="213636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eyc.org/resources/pubs/yc/mar2018/promoting-social-and-emotional-health" TargetMode="External"/><Relationship Id="rId13" Type="http://schemas.openxmlformats.org/officeDocument/2006/relationships/hyperlink" Target="https://doi.org/10.1177/1096250615593326"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doi.org/10.1073/pnas.1807504116" TargetMode="External"/><Relationship Id="rId12" Type="http://schemas.openxmlformats.org/officeDocument/2006/relationships/hyperlink" Target="https://search.proquest.com/docview/228485799?pq-origsite=gscholar"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magineeducation.com.au/files/CHCECE018022/1.pdf" TargetMode="External"/><Relationship Id="rId11" Type="http://schemas.openxmlformats.org/officeDocument/2006/relationships/hyperlink" Target="https://www.encourageplay.com/open-ended-play"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doi.org/10.1177/0271121414554432"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southernearlychildhood.org/upload/pdf/DeMeulenaere_43_1.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Catlett, Camille</dc:creator>
  <cp:keywords/>
  <dc:description/>
  <cp:lastModifiedBy>Camille Catlett</cp:lastModifiedBy>
  <cp:revision>2</cp:revision>
  <cp:lastPrinted>2019-05-25T20:28:00Z</cp:lastPrinted>
  <dcterms:created xsi:type="dcterms:W3CDTF">2019-05-25T20:29:00Z</dcterms:created>
  <dcterms:modified xsi:type="dcterms:W3CDTF">2019-05-25T20:29:00Z</dcterms:modified>
</cp:coreProperties>
</file>