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1A87" w14:textId="77777777" w:rsidR="00DE3AB9" w:rsidRPr="00B021F1" w:rsidRDefault="00DE3AB9" w:rsidP="00DE3AB9">
      <w:pPr>
        <w:spacing w:after="0" w:line="240" w:lineRule="auto"/>
        <w:jc w:val="center"/>
        <w:rPr>
          <w:rFonts w:ascii="Arial" w:hAnsi="Arial" w:cs="Arial"/>
          <w:b/>
          <w:i/>
          <w:sz w:val="28"/>
        </w:rPr>
      </w:pPr>
      <w:r>
        <w:rPr>
          <w:rFonts w:ascii="Arial" w:hAnsi="Arial" w:cs="Arial"/>
          <w:b/>
          <w:i/>
          <w:color w:val="0070C0"/>
          <w:sz w:val="28"/>
        </w:rPr>
        <w:t>From All to Each and Every</w:t>
      </w:r>
      <w:r w:rsidRPr="00B021F1">
        <w:rPr>
          <w:rFonts w:ascii="Arial" w:hAnsi="Arial" w:cs="Arial"/>
          <w:b/>
          <w:i/>
          <w:color w:val="0070C0"/>
          <w:sz w:val="28"/>
        </w:rPr>
        <w:t>:</w:t>
      </w:r>
    </w:p>
    <w:p w14:paraId="18176EFC" w14:textId="77777777" w:rsidR="00DE3AB9" w:rsidRPr="00B021F1" w:rsidRDefault="00DE3AB9" w:rsidP="00DE3AB9">
      <w:pPr>
        <w:spacing w:after="0" w:line="240" w:lineRule="auto"/>
        <w:jc w:val="center"/>
        <w:rPr>
          <w:b/>
          <w:sz w:val="23"/>
          <w:szCs w:val="23"/>
        </w:rPr>
      </w:pPr>
      <w:r>
        <w:rPr>
          <w:b/>
          <w:sz w:val="23"/>
          <w:szCs w:val="23"/>
        </w:rPr>
        <w:t>Building a Consistent, Statewide Emphasis on Full Participation and Equity</w:t>
      </w:r>
      <w:r w:rsidRPr="00B021F1">
        <w:rPr>
          <w:b/>
          <w:sz w:val="23"/>
          <w:szCs w:val="23"/>
          <w:vertAlign w:val="superscript"/>
        </w:rPr>
        <w:footnoteReference w:id="2"/>
      </w:r>
    </w:p>
    <w:p w14:paraId="56096707" w14:textId="77777777" w:rsidR="00DE3AB9" w:rsidRPr="00B021F1" w:rsidRDefault="00DE3AB9" w:rsidP="00DE3AB9">
      <w:pPr>
        <w:spacing w:after="0" w:line="240" w:lineRule="auto"/>
        <w:jc w:val="center"/>
        <w:rPr>
          <w:rFonts w:ascii="Arial Black" w:hAnsi="Arial Black"/>
          <w:b/>
          <w:color w:val="0070C0"/>
          <w:sz w:val="20"/>
          <w:szCs w:val="23"/>
        </w:rPr>
      </w:pPr>
      <w:r w:rsidRPr="00B021F1">
        <w:rPr>
          <w:rFonts w:ascii="Arial Black" w:hAnsi="Arial Black"/>
          <w:b/>
          <w:color w:val="0070C0"/>
          <w:sz w:val="20"/>
          <w:szCs w:val="23"/>
        </w:rPr>
        <w:t xml:space="preserve">Session </w:t>
      </w:r>
      <w:r>
        <w:rPr>
          <w:rFonts w:ascii="Arial Black" w:hAnsi="Arial Black"/>
          <w:b/>
          <w:color w:val="0070C0"/>
          <w:sz w:val="20"/>
          <w:szCs w:val="23"/>
        </w:rPr>
        <w:t>422</w:t>
      </w:r>
    </w:p>
    <w:p w14:paraId="41C25B33" w14:textId="77777777" w:rsidR="00DE3AB9" w:rsidRPr="00B021F1" w:rsidRDefault="00DE3AB9" w:rsidP="00DE3AB9">
      <w:pPr>
        <w:spacing w:after="0" w:line="240" w:lineRule="auto"/>
        <w:rPr>
          <w:sz w:val="12"/>
        </w:rPr>
      </w:pPr>
    </w:p>
    <w:tbl>
      <w:tblPr>
        <w:tblStyle w:val="TableGrid"/>
        <w:tblW w:w="10345" w:type="dxa"/>
        <w:tblLook w:val="04A0" w:firstRow="1" w:lastRow="0" w:firstColumn="1" w:lastColumn="0" w:noHBand="0" w:noVBand="1"/>
      </w:tblPr>
      <w:tblGrid>
        <w:gridCol w:w="3595"/>
        <w:gridCol w:w="3150"/>
        <w:gridCol w:w="3600"/>
      </w:tblGrid>
      <w:tr w:rsidR="00DE3AB9" w14:paraId="43BB5917" w14:textId="77777777" w:rsidTr="0019132A">
        <w:tc>
          <w:tcPr>
            <w:tcW w:w="3595" w:type="dxa"/>
          </w:tcPr>
          <w:p w14:paraId="2AC0942E" w14:textId="77777777" w:rsidR="00DE3AB9" w:rsidRDefault="00DE3AB9" w:rsidP="00B80705">
            <w:pPr>
              <w:jc w:val="center"/>
              <w:rPr>
                <w:b/>
              </w:rPr>
            </w:pPr>
            <w:r w:rsidRPr="00B021F1">
              <w:rPr>
                <w:b/>
              </w:rPr>
              <w:t>Amy Bolger</w:t>
            </w:r>
          </w:p>
          <w:p w14:paraId="7942BDFD" w14:textId="77777777" w:rsidR="00D9078C" w:rsidRPr="00D9078C" w:rsidRDefault="00D9078C" w:rsidP="00B80705">
            <w:pPr>
              <w:jc w:val="center"/>
            </w:pPr>
            <w:r w:rsidRPr="00D9078C">
              <w:t>Vermont Child Development Division</w:t>
            </w:r>
          </w:p>
          <w:p w14:paraId="58317D55" w14:textId="18289B55" w:rsidR="00D9078C" w:rsidRPr="00D9078C" w:rsidRDefault="00A21ECC" w:rsidP="00B80705">
            <w:pPr>
              <w:jc w:val="center"/>
              <w:rPr>
                <w:b/>
                <w:bCs/>
                <w:sz w:val="12"/>
              </w:rPr>
            </w:pPr>
            <w:hyperlink r:id="rId8" w:history="1">
              <w:r w:rsidR="00D9078C" w:rsidRPr="00D9078C">
                <w:rPr>
                  <w:rStyle w:val="Hyperlink"/>
                  <w:b/>
                  <w:bCs/>
                  <w:szCs w:val="40"/>
                  <w:u w:val="none"/>
                </w:rPr>
                <w:t>Amy.Bolger@vermont.gov</w:t>
              </w:r>
            </w:hyperlink>
            <w:r w:rsidR="00D9078C" w:rsidRPr="00D9078C">
              <w:rPr>
                <w:b/>
                <w:bCs/>
                <w:sz w:val="12"/>
              </w:rPr>
              <w:t xml:space="preserve"> </w:t>
            </w:r>
          </w:p>
        </w:tc>
        <w:tc>
          <w:tcPr>
            <w:tcW w:w="3150" w:type="dxa"/>
          </w:tcPr>
          <w:p w14:paraId="7DA1FC7E" w14:textId="77777777" w:rsidR="00DE3AB9" w:rsidRPr="00B021F1" w:rsidRDefault="00DE3AB9" w:rsidP="00B80705">
            <w:pPr>
              <w:jc w:val="center"/>
              <w:rPr>
                <w:b/>
              </w:rPr>
            </w:pPr>
            <w:r w:rsidRPr="00B021F1">
              <w:rPr>
                <w:b/>
              </w:rPr>
              <w:t>Camille Catlett</w:t>
            </w:r>
          </w:p>
          <w:p w14:paraId="4A606D14" w14:textId="77777777" w:rsidR="00DE3AB9" w:rsidRPr="00B021F1" w:rsidRDefault="00DE3AB9" w:rsidP="00B80705">
            <w:pPr>
              <w:jc w:val="center"/>
            </w:pPr>
            <w:r w:rsidRPr="00B021F1">
              <w:t>FPG Child Development Institute</w:t>
            </w:r>
          </w:p>
          <w:p w14:paraId="7045631E" w14:textId="77777777" w:rsidR="00DE3AB9" w:rsidRDefault="00A21ECC" w:rsidP="00B80705">
            <w:pPr>
              <w:jc w:val="center"/>
              <w:rPr>
                <w:sz w:val="12"/>
              </w:rPr>
            </w:pPr>
            <w:hyperlink r:id="rId9" w:history="1">
              <w:r w:rsidR="00DE3AB9" w:rsidRPr="00B021F1">
                <w:rPr>
                  <w:b/>
                  <w:color w:val="0563C1" w:themeColor="hyperlink"/>
                </w:rPr>
                <w:t>camille.catlett@unc.edu</w:t>
              </w:r>
            </w:hyperlink>
          </w:p>
        </w:tc>
        <w:tc>
          <w:tcPr>
            <w:tcW w:w="3600" w:type="dxa"/>
          </w:tcPr>
          <w:p w14:paraId="6593FA78" w14:textId="77777777" w:rsidR="00DE3AB9" w:rsidRDefault="00DE3AB9" w:rsidP="00B80705">
            <w:pPr>
              <w:jc w:val="center"/>
              <w:rPr>
                <w:b/>
              </w:rPr>
            </w:pPr>
            <w:r w:rsidRPr="00B021F1">
              <w:rPr>
                <w:b/>
              </w:rPr>
              <w:t>Melissa Riegel-Garrett</w:t>
            </w:r>
          </w:p>
          <w:p w14:paraId="78FCC939" w14:textId="77777777" w:rsidR="0019132A" w:rsidRPr="00D9078C" w:rsidRDefault="0019132A" w:rsidP="0019132A">
            <w:pPr>
              <w:jc w:val="center"/>
            </w:pPr>
            <w:r w:rsidRPr="00D9078C">
              <w:t>Vermont Child Development Division</w:t>
            </w:r>
          </w:p>
          <w:p w14:paraId="30F86159" w14:textId="56B74C53" w:rsidR="0019132A" w:rsidRPr="001B1BB3" w:rsidRDefault="00A21ECC" w:rsidP="00B80705">
            <w:pPr>
              <w:jc w:val="center"/>
              <w:rPr>
                <w:b/>
                <w:bCs/>
                <w:sz w:val="12"/>
              </w:rPr>
            </w:pPr>
            <w:hyperlink r:id="rId10" w:history="1">
              <w:r w:rsidR="001B1BB3" w:rsidRPr="001B1BB3">
                <w:rPr>
                  <w:b/>
                  <w:bCs/>
                  <w:color w:val="0000FF"/>
                </w:rPr>
                <w:t>melissa.riegel-garrett@vermont.gov</w:t>
              </w:r>
            </w:hyperlink>
          </w:p>
        </w:tc>
      </w:tr>
    </w:tbl>
    <w:p w14:paraId="41B3E5B9" w14:textId="77777777" w:rsidR="00DE3AB9" w:rsidRPr="00243927" w:rsidRDefault="00DE3AB9" w:rsidP="00DE3AB9">
      <w:pPr>
        <w:spacing w:after="0" w:line="240" w:lineRule="auto"/>
        <w:rPr>
          <w:sz w:val="20"/>
        </w:rPr>
      </w:pPr>
    </w:p>
    <w:p w14:paraId="2D80C71F" w14:textId="6196A13E" w:rsidR="00DE3AB9" w:rsidRPr="00B021F1" w:rsidRDefault="00DE3AB9" w:rsidP="00DE3AB9">
      <w:pPr>
        <w:numPr>
          <w:ilvl w:val="0"/>
          <w:numId w:val="9"/>
        </w:numPr>
        <w:shd w:val="clear" w:color="auto" w:fill="DEEAF6" w:themeFill="accent1" w:themeFillTint="33"/>
        <w:spacing w:after="0" w:line="240" w:lineRule="auto"/>
        <w:contextualSpacing/>
        <w:rPr>
          <w:b/>
          <w:sz w:val="24"/>
        </w:rPr>
      </w:pPr>
      <w:r>
        <w:rPr>
          <w:b/>
          <w:sz w:val="24"/>
        </w:rPr>
        <w:t xml:space="preserve">Evolving National Context for </w:t>
      </w:r>
      <w:r w:rsidR="00D04DBA">
        <w:rPr>
          <w:b/>
          <w:sz w:val="24"/>
        </w:rPr>
        <w:t xml:space="preserve">Full Participation and </w:t>
      </w:r>
      <w:r>
        <w:rPr>
          <w:b/>
          <w:sz w:val="24"/>
        </w:rPr>
        <w:t>Equity</w:t>
      </w:r>
    </w:p>
    <w:p w14:paraId="037EEDE4" w14:textId="77777777" w:rsidR="00243927" w:rsidRPr="00FF2803" w:rsidRDefault="00243927" w:rsidP="00DE3AB9">
      <w:pPr>
        <w:keepNext/>
        <w:keepLines/>
        <w:spacing w:after="0" w:line="240" w:lineRule="auto"/>
        <w:ind w:firstLine="360"/>
        <w:outlineLvl w:val="0"/>
        <w:rPr>
          <w:rFonts w:eastAsiaTheme="majorEastAsia" w:cstheme="minorHAnsi"/>
          <w:b/>
          <w:color w:val="2E74B5" w:themeColor="accent1" w:themeShade="BF"/>
          <w:sz w:val="8"/>
          <w:szCs w:val="32"/>
        </w:rPr>
      </w:pPr>
    </w:p>
    <w:p w14:paraId="4063ACBB" w14:textId="41AC211B" w:rsidR="00DE3AB9" w:rsidRPr="00B021F1" w:rsidRDefault="00DE3AB9" w:rsidP="00DE3AB9">
      <w:pPr>
        <w:keepNext/>
        <w:keepLines/>
        <w:spacing w:after="0" w:line="240" w:lineRule="auto"/>
        <w:ind w:firstLine="360"/>
        <w:outlineLvl w:val="0"/>
        <w:rPr>
          <w:rFonts w:cstheme="minorHAnsi"/>
          <w:b/>
        </w:rPr>
      </w:pPr>
      <w:r w:rsidRPr="00B021F1">
        <w:rPr>
          <w:rFonts w:eastAsiaTheme="majorEastAsia" w:cstheme="minorHAnsi"/>
          <w:b/>
          <w:color w:val="2E74B5" w:themeColor="accent1" w:themeShade="BF"/>
          <w:szCs w:val="32"/>
        </w:rPr>
        <w:t>Transforming the Workforce for Children Birth Through Age 8: A Unifying Foundation</w:t>
      </w:r>
      <w:r w:rsidRPr="00B021F1">
        <w:rPr>
          <w:rFonts w:cstheme="minorHAnsi"/>
          <w:b/>
        </w:rPr>
        <w:t xml:space="preserve"> </w:t>
      </w:r>
    </w:p>
    <w:p w14:paraId="4AE64BD0" w14:textId="77777777" w:rsidR="00DE3AB9" w:rsidRPr="00B021F1" w:rsidRDefault="00DE3AB9" w:rsidP="00DE3AB9">
      <w:pPr>
        <w:spacing w:after="0" w:line="240" w:lineRule="auto"/>
        <w:rPr>
          <w:i/>
          <w:sz w:val="20"/>
        </w:rPr>
      </w:pPr>
      <w:r w:rsidRPr="00B021F1">
        <w:rPr>
          <w:i/>
          <w:sz w:val="20"/>
        </w:rPr>
        <w:t xml:space="preserve">The Institute of Medicine’s seminal report supports building a workforce unified by the science of child development and early learning and the shared knowledge and competencies needed to provide consistent, high-quality support for the development and early learning of children from birth through age 8. </w:t>
      </w:r>
    </w:p>
    <w:p w14:paraId="7FF74825" w14:textId="77777777" w:rsidR="00DE3AB9" w:rsidRPr="00B021F1" w:rsidRDefault="00DE3AB9" w:rsidP="00DE3AB9">
      <w:pPr>
        <w:spacing w:after="0" w:line="240" w:lineRule="auto"/>
        <w:rPr>
          <w:b/>
          <w:sz w:val="18"/>
          <w:szCs w:val="20"/>
        </w:rPr>
      </w:pPr>
      <w:r w:rsidRPr="00B021F1">
        <w:rPr>
          <w:rFonts w:ascii="Arial Black" w:hAnsi="Arial Black" w:cs="Century Schoolbook"/>
          <w:iCs/>
          <w:color w:val="221E1F"/>
          <w:sz w:val="16"/>
          <w:szCs w:val="16"/>
        </w:rPr>
        <w:t>Source:</w:t>
      </w:r>
      <w:r w:rsidRPr="00B021F1">
        <w:rPr>
          <w:rFonts w:ascii="Arial Black" w:hAnsi="Arial Black"/>
          <w:i/>
          <w:sz w:val="20"/>
        </w:rPr>
        <w:t xml:space="preserve"> </w:t>
      </w:r>
      <w:hyperlink r:id="rId11" w:history="1">
        <w:r w:rsidRPr="00B021F1">
          <w:rPr>
            <w:b/>
            <w:color w:val="0563C1" w:themeColor="hyperlink"/>
            <w:sz w:val="20"/>
          </w:rPr>
          <w:t>http://www.nationalacademies.org/hmd/Reports/2015/Birth-To-Eight.aspx</w:t>
        </w:r>
      </w:hyperlink>
      <w:r w:rsidRPr="00B021F1">
        <w:rPr>
          <w:b/>
          <w:sz w:val="18"/>
          <w:szCs w:val="20"/>
        </w:rPr>
        <w:t xml:space="preserve"> </w:t>
      </w:r>
    </w:p>
    <w:p w14:paraId="4C97AEA0" w14:textId="77777777" w:rsidR="00DE3AB9" w:rsidRPr="00B021F1" w:rsidRDefault="00DE3AB9" w:rsidP="00DE3AB9">
      <w:pPr>
        <w:spacing w:after="0" w:line="240" w:lineRule="auto"/>
        <w:ind w:left="360"/>
        <w:contextualSpacing/>
        <w:rPr>
          <w:b/>
          <w:sz w:val="14"/>
          <w:szCs w:val="20"/>
        </w:rPr>
      </w:pPr>
    </w:p>
    <w:p w14:paraId="7212FB46" w14:textId="77777777" w:rsidR="00DE3AB9" w:rsidRPr="00B021F1" w:rsidRDefault="00DE3AB9" w:rsidP="00391136">
      <w:pPr>
        <w:keepNext/>
        <w:keepLines/>
        <w:spacing w:after="0" w:line="240" w:lineRule="auto"/>
        <w:ind w:firstLine="720"/>
        <w:outlineLvl w:val="0"/>
        <w:rPr>
          <w:rFonts w:eastAsiaTheme="majorEastAsia" w:cstheme="minorHAnsi"/>
          <w:b/>
          <w:color w:val="2E74B5" w:themeColor="accent1" w:themeShade="BF"/>
          <w:szCs w:val="32"/>
        </w:rPr>
      </w:pPr>
      <w:r w:rsidRPr="00B021F1">
        <w:rPr>
          <w:rFonts w:eastAsiaTheme="majorEastAsia" w:cstheme="minorHAnsi"/>
          <w:b/>
          <w:color w:val="2E74B5" w:themeColor="accent1" w:themeShade="BF"/>
          <w:szCs w:val="32"/>
        </w:rPr>
        <w:t>Power to the Profession</w:t>
      </w:r>
    </w:p>
    <w:p w14:paraId="5D3EB3C0" w14:textId="77777777" w:rsidR="00DE3AB9" w:rsidRDefault="00DE3AB9" w:rsidP="00DE3AB9">
      <w:pPr>
        <w:spacing w:after="0" w:line="240" w:lineRule="auto"/>
        <w:rPr>
          <w:rFonts w:ascii="Arial Black" w:hAnsi="Arial Black" w:cs="Century Schoolbook"/>
          <w:iCs/>
          <w:color w:val="221E1F"/>
          <w:sz w:val="16"/>
          <w:szCs w:val="16"/>
        </w:rPr>
      </w:pPr>
      <w:r w:rsidRPr="00B021F1">
        <w:rPr>
          <w:i/>
          <w:sz w:val="20"/>
        </w:rPr>
        <w:t xml:space="preserve">Power to the Profession is a national collaboration to define the early childhood profession by establishing a unifying framework for career pathways, knowledge, and competencies, qualifications, standards, and compensation. </w:t>
      </w:r>
    </w:p>
    <w:p w14:paraId="4982A863" w14:textId="77777777" w:rsidR="00DE3AB9" w:rsidRPr="00B021F1" w:rsidRDefault="00DE3AB9" w:rsidP="00DE3AB9">
      <w:pPr>
        <w:spacing w:after="0" w:line="240" w:lineRule="auto"/>
        <w:rPr>
          <w:rFonts w:ascii="Arial Black" w:hAnsi="Arial Black"/>
          <w:sz w:val="20"/>
          <w:szCs w:val="20"/>
        </w:rPr>
      </w:pPr>
      <w:r w:rsidRPr="00B021F1">
        <w:rPr>
          <w:rFonts w:ascii="Arial Black" w:hAnsi="Arial Black" w:cs="Century Schoolbook"/>
          <w:iCs/>
          <w:color w:val="221E1F"/>
          <w:sz w:val="16"/>
          <w:szCs w:val="16"/>
        </w:rPr>
        <w:t>Sources</w:t>
      </w:r>
      <w:r w:rsidRPr="00B021F1">
        <w:rPr>
          <w:rFonts w:ascii="Arial Black" w:hAnsi="Arial Black"/>
          <w:sz w:val="20"/>
        </w:rPr>
        <w:t xml:space="preserve">: </w:t>
      </w:r>
      <w:hyperlink r:id="rId12" w:history="1">
        <w:r w:rsidRPr="00B021F1">
          <w:rPr>
            <w:rFonts w:cstheme="minorHAnsi"/>
            <w:b/>
            <w:color w:val="0563C1" w:themeColor="hyperlink"/>
            <w:sz w:val="20"/>
            <w:szCs w:val="20"/>
          </w:rPr>
          <w:t>https://www.naeyc.org/our-work/initiatives/profession</w:t>
        </w:r>
      </w:hyperlink>
      <w:r w:rsidRPr="00B021F1">
        <w:rPr>
          <w:rFonts w:ascii="Arial Black" w:hAnsi="Arial Black"/>
          <w:sz w:val="20"/>
          <w:szCs w:val="20"/>
        </w:rPr>
        <w:t xml:space="preserve">  </w:t>
      </w:r>
    </w:p>
    <w:p w14:paraId="3482BD6D" w14:textId="77777777" w:rsidR="00DE3AB9" w:rsidRPr="00B021F1" w:rsidRDefault="00A21ECC" w:rsidP="00DE3AB9">
      <w:pPr>
        <w:spacing w:after="0" w:line="240" w:lineRule="auto"/>
        <w:rPr>
          <w:rFonts w:ascii="Arial Black" w:hAnsi="Arial Black"/>
          <w:sz w:val="20"/>
          <w:szCs w:val="20"/>
        </w:rPr>
      </w:pPr>
      <w:hyperlink r:id="rId13" w:history="1">
        <w:r w:rsidR="00DE3AB9" w:rsidRPr="00B021F1">
          <w:rPr>
            <w:rFonts w:cstheme="minorHAnsi"/>
            <w:b/>
            <w:color w:val="0563C1" w:themeColor="hyperlink"/>
            <w:sz w:val="20"/>
            <w:szCs w:val="20"/>
          </w:rPr>
          <w:t>https://www.naeyc.org/our-work/initiatives/profession/decision-cycles/power-profession-decision-cycles-3456</w:t>
        </w:r>
      </w:hyperlink>
      <w:r w:rsidR="00DE3AB9" w:rsidRPr="00B021F1">
        <w:rPr>
          <w:rFonts w:cstheme="minorHAnsi"/>
          <w:b/>
          <w:sz w:val="20"/>
          <w:szCs w:val="20"/>
        </w:rPr>
        <w:t xml:space="preserve"> </w:t>
      </w:r>
    </w:p>
    <w:p w14:paraId="16A9C1D0" w14:textId="77777777" w:rsidR="00DE3AB9" w:rsidRPr="00B021F1" w:rsidRDefault="00DE3AB9" w:rsidP="00DE3AB9">
      <w:pPr>
        <w:spacing w:after="0" w:line="240" w:lineRule="auto"/>
        <w:ind w:left="360"/>
        <w:contextualSpacing/>
        <w:rPr>
          <w:rFonts w:eastAsiaTheme="majorEastAsia" w:cstheme="minorHAnsi"/>
          <w:color w:val="2E74B5" w:themeColor="accent1" w:themeShade="BF"/>
          <w:sz w:val="14"/>
          <w:szCs w:val="32"/>
        </w:rPr>
      </w:pPr>
    </w:p>
    <w:p w14:paraId="097CF96B" w14:textId="77777777" w:rsidR="00DE3AB9" w:rsidRPr="00B021F1" w:rsidRDefault="00DE3AB9" w:rsidP="00DE3AB9">
      <w:pPr>
        <w:keepNext/>
        <w:keepLines/>
        <w:spacing w:after="0" w:line="240" w:lineRule="auto"/>
        <w:ind w:firstLine="720"/>
        <w:outlineLvl w:val="0"/>
        <w:rPr>
          <w:rFonts w:eastAsiaTheme="majorEastAsia" w:cstheme="minorHAnsi"/>
          <w:b/>
          <w:color w:val="2E74B5" w:themeColor="accent1" w:themeShade="BF"/>
          <w:szCs w:val="32"/>
        </w:rPr>
      </w:pPr>
      <w:r w:rsidRPr="00B021F1">
        <w:rPr>
          <w:rFonts w:eastAsiaTheme="majorEastAsia" w:cstheme="minorHAnsi"/>
          <w:b/>
          <w:color w:val="2E74B5" w:themeColor="accent1" w:themeShade="BF"/>
          <w:szCs w:val="32"/>
        </w:rPr>
        <w:t>Draft Professional Standards and Competencies for Early Childhood Educators</w:t>
      </w:r>
    </w:p>
    <w:p w14:paraId="1A7941D5" w14:textId="77777777" w:rsidR="00DE3AB9" w:rsidRPr="00B021F1" w:rsidRDefault="00DE3AB9" w:rsidP="00DE3AB9">
      <w:pPr>
        <w:spacing w:after="0" w:line="240" w:lineRule="auto"/>
        <w:rPr>
          <w:i/>
          <w:sz w:val="20"/>
        </w:rPr>
      </w:pPr>
      <w:r w:rsidRPr="00B021F1">
        <w:rPr>
          <w:i/>
          <w:sz w:val="20"/>
        </w:rPr>
        <w:t xml:space="preserve">The second public draft of this document includes references for each standard, a glossary, and, most importantly, a first draft of the leveling of the standards and competencies to the ECE I, II and III levels recommended in Power to the Profession. </w:t>
      </w:r>
    </w:p>
    <w:p w14:paraId="38DF588E" w14:textId="77777777" w:rsidR="00DE3AB9" w:rsidRPr="00B021F1" w:rsidRDefault="00DE3AB9" w:rsidP="00DE3AB9">
      <w:pPr>
        <w:spacing w:after="0" w:line="240" w:lineRule="auto"/>
        <w:rPr>
          <w:b/>
        </w:rPr>
      </w:pPr>
      <w:r w:rsidRPr="00B021F1">
        <w:rPr>
          <w:rFonts w:ascii="Arial Black" w:eastAsia="Calibri" w:hAnsi="Arial Black" w:cs="Century Schoolbook"/>
          <w:iCs/>
          <w:color w:val="221E1F"/>
          <w:sz w:val="16"/>
          <w:szCs w:val="16"/>
        </w:rPr>
        <w:t xml:space="preserve">Source: </w:t>
      </w:r>
      <w:hyperlink r:id="rId14" w:history="1">
        <w:r w:rsidRPr="00B021F1">
          <w:rPr>
            <w:b/>
            <w:color w:val="0563C1" w:themeColor="hyperlink"/>
            <w:sz w:val="20"/>
          </w:rPr>
          <w:t>https://www.naeyc.org/resources/position-statements/draft-professional-standards-competencies</w:t>
        </w:r>
      </w:hyperlink>
      <w:r w:rsidRPr="00B021F1">
        <w:rPr>
          <w:b/>
          <w:sz w:val="20"/>
        </w:rPr>
        <w:t xml:space="preserve"> </w:t>
      </w:r>
    </w:p>
    <w:p w14:paraId="6B5500B2" w14:textId="77777777" w:rsidR="00DE3AB9" w:rsidRPr="00B021F1" w:rsidRDefault="00DE3AB9" w:rsidP="00DE3AB9">
      <w:pPr>
        <w:spacing w:after="0" w:line="240" w:lineRule="auto"/>
        <w:ind w:left="360"/>
        <w:contextualSpacing/>
        <w:rPr>
          <w:rFonts w:cstheme="minorHAnsi"/>
          <w:sz w:val="14"/>
        </w:rPr>
      </w:pPr>
    </w:p>
    <w:p w14:paraId="3708A6F3" w14:textId="77777777" w:rsidR="00DE3AB9" w:rsidRPr="00B021F1" w:rsidRDefault="00DE3AB9" w:rsidP="00DE3AB9">
      <w:pPr>
        <w:keepNext/>
        <w:keepLines/>
        <w:spacing w:after="0" w:line="240" w:lineRule="auto"/>
        <w:ind w:firstLine="720"/>
        <w:outlineLvl w:val="0"/>
        <w:rPr>
          <w:rFonts w:eastAsiaTheme="majorEastAsia" w:cstheme="minorHAnsi"/>
          <w:b/>
          <w:color w:val="2E74B5" w:themeColor="accent1" w:themeShade="BF"/>
          <w:szCs w:val="32"/>
        </w:rPr>
      </w:pPr>
      <w:r w:rsidRPr="00B021F1">
        <w:rPr>
          <w:rFonts w:eastAsiaTheme="majorEastAsia" w:cstheme="minorHAnsi"/>
          <w:b/>
          <w:color w:val="2E74B5" w:themeColor="accent1" w:themeShade="BF"/>
          <w:szCs w:val="32"/>
        </w:rPr>
        <w:t xml:space="preserve">NAEYC Position Statement: Advancing Equity in Early Childhood Education </w:t>
      </w:r>
    </w:p>
    <w:p w14:paraId="61F97C89" w14:textId="77777777" w:rsidR="00DE3AB9" w:rsidRPr="000013D2" w:rsidRDefault="00DE3AB9" w:rsidP="00DE3AB9">
      <w:pPr>
        <w:spacing w:after="0" w:line="240" w:lineRule="auto"/>
        <w:rPr>
          <w:rFonts w:ascii="Calibri" w:eastAsia="Calibri" w:hAnsi="Calibri" w:cs="Times New Roman"/>
          <w:i/>
          <w:sz w:val="20"/>
        </w:rPr>
      </w:pPr>
      <w:r w:rsidRPr="00B021F1">
        <w:rPr>
          <w:rFonts w:ascii="Calibri" w:eastAsia="Calibri" w:hAnsi="Calibri" w:cs="Times New Roman"/>
          <w:i/>
          <w:sz w:val="20"/>
        </w:rPr>
        <w:t xml:space="preserve">Although equity and diversity are referenced in our NAEYC’S core values and beliefs, they have never had a separate position statement focused solely on these issues. Based on multiple drafts and significant feedback, this </w:t>
      </w:r>
      <w:r w:rsidRPr="000013D2">
        <w:rPr>
          <w:rFonts w:ascii="Calibri" w:eastAsia="Calibri" w:hAnsi="Calibri" w:cs="Times New Roman"/>
          <w:i/>
          <w:sz w:val="20"/>
        </w:rPr>
        <w:t>position statement was approved by the Governing Board in April 2019</w:t>
      </w:r>
      <w:r w:rsidRPr="00B021F1">
        <w:rPr>
          <w:rFonts w:ascii="Calibri" w:eastAsia="Calibri" w:hAnsi="Calibri" w:cs="Times New Roman"/>
          <w:i/>
          <w:sz w:val="20"/>
        </w:rPr>
        <w:t xml:space="preserve">. </w:t>
      </w:r>
    </w:p>
    <w:p w14:paraId="3B2B7FD1" w14:textId="77777777" w:rsidR="00DE3AB9" w:rsidRPr="00B021F1" w:rsidRDefault="00DE3AB9" w:rsidP="00DE3AB9">
      <w:pPr>
        <w:spacing w:after="0" w:line="240" w:lineRule="auto"/>
        <w:rPr>
          <w:b/>
        </w:rPr>
      </w:pPr>
      <w:r w:rsidRPr="00B021F1">
        <w:rPr>
          <w:rFonts w:ascii="Arial Black" w:eastAsia="Calibri" w:hAnsi="Arial Black" w:cs="Century Schoolbook"/>
          <w:iCs/>
          <w:color w:val="221E1F"/>
          <w:sz w:val="16"/>
          <w:szCs w:val="16"/>
        </w:rPr>
        <w:t xml:space="preserve">Source: </w:t>
      </w:r>
      <w:hyperlink r:id="rId15" w:history="1">
        <w:r w:rsidRPr="00B021F1">
          <w:rPr>
            <w:b/>
            <w:color w:val="0563C1" w:themeColor="hyperlink"/>
            <w:sz w:val="20"/>
          </w:rPr>
          <w:t>https://www.naeyc.org/resources/position-statements/equity-draft</w:t>
        </w:r>
      </w:hyperlink>
      <w:r w:rsidRPr="00B021F1">
        <w:rPr>
          <w:b/>
          <w:sz w:val="28"/>
        </w:rPr>
        <w:t xml:space="preserve"> </w:t>
      </w:r>
    </w:p>
    <w:p w14:paraId="0ED34BEC" w14:textId="28E14192" w:rsidR="00DE3AB9" w:rsidRDefault="00DE3AB9" w:rsidP="00DE3AB9">
      <w:pPr>
        <w:spacing w:after="0" w:line="240" w:lineRule="auto"/>
        <w:rPr>
          <w:sz w:val="14"/>
        </w:rPr>
      </w:pPr>
    </w:p>
    <w:p w14:paraId="5B144BCA" w14:textId="77777777" w:rsidR="00DE3AB9" w:rsidRPr="00B021F1" w:rsidRDefault="00DE3AB9" w:rsidP="00DE3AB9">
      <w:pPr>
        <w:keepNext/>
        <w:keepLines/>
        <w:spacing w:after="0" w:line="240" w:lineRule="auto"/>
        <w:ind w:firstLine="720"/>
        <w:outlineLvl w:val="0"/>
        <w:rPr>
          <w:rFonts w:eastAsiaTheme="majorEastAsia" w:cstheme="minorHAnsi"/>
          <w:b/>
          <w:color w:val="2E74B5" w:themeColor="accent1" w:themeShade="BF"/>
          <w:szCs w:val="32"/>
        </w:rPr>
      </w:pPr>
      <w:r w:rsidRPr="00B021F1">
        <w:rPr>
          <w:rFonts w:eastAsiaTheme="majorEastAsia" w:cstheme="minorHAnsi"/>
          <w:b/>
          <w:color w:val="2E74B5" w:themeColor="accent1" w:themeShade="BF"/>
          <w:szCs w:val="32"/>
        </w:rPr>
        <w:t xml:space="preserve">Culturally Responsive Teaching </w:t>
      </w:r>
    </w:p>
    <w:p w14:paraId="34AC60EC" w14:textId="20BB4F8C" w:rsidR="00DE3AB9" w:rsidRDefault="00DE3AB9" w:rsidP="00DE3AB9">
      <w:pPr>
        <w:spacing w:after="0" w:line="240" w:lineRule="auto"/>
        <w:rPr>
          <w:rFonts w:ascii="Arial Black" w:eastAsia="Calibri" w:hAnsi="Arial Black" w:cs="Century Schoolbook"/>
          <w:iCs/>
          <w:color w:val="221E1F"/>
          <w:sz w:val="16"/>
          <w:szCs w:val="16"/>
        </w:rPr>
      </w:pPr>
      <w:r w:rsidRPr="00B021F1">
        <w:rPr>
          <w:rFonts w:ascii="Calibri" w:eastAsia="Calibri" w:hAnsi="Calibri" w:cs="Times New Roman"/>
          <w:i/>
          <w:sz w:val="20"/>
        </w:rPr>
        <w:t>This document starts by defining culturally responsive teaching (CRT) and delineating the benefits to children and families that accrue from teachers who are prepared to implement CRT. Teacher competencies that promote CRT are spelled out and followed by an analysis of ways in which professional teaching standards are being used to build a diverse pool of educators who are prepared to demonstrate culturally responsive teaching. Author Jenny Muniz also shows how the teacher competencies in each state stack up and provides excerpts from excellent teaching standards to serve as models.</w:t>
      </w:r>
      <w:r w:rsidRPr="00B021F1">
        <w:rPr>
          <w:rFonts w:ascii="Arial Black" w:eastAsia="Calibri" w:hAnsi="Arial Black" w:cs="Century Schoolbook"/>
          <w:iCs/>
          <w:color w:val="221E1F"/>
          <w:sz w:val="16"/>
          <w:szCs w:val="16"/>
        </w:rPr>
        <w:t xml:space="preserve"> </w:t>
      </w:r>
    </w:p>
    <w:p w14:paraId="540EFDB9" w14:textId="77777777" w:rsidR="00DE3AB9" w:rsidRPr="00B021F1" w:rsidRDefault="00DE3AB9" w:rsidP="00DE3AB9">
      <w:pPr>
        <w:spacing w:after="0" w:line="240" w:lineRule="auto"/>
        <w:rPr>
          <w:rFonts w:eastAsia="Georgia" w:cstheme="minorHAnsi"/>
          <w:b/>
          <w:bCs/>
          <w:color w:val="0070C0"/>
          <w:szCs w:val="24"/>
        </w:rPr>
      </w:pPr>
      <w:r w:rsidRPr="00B021F1">
        <w:rPr>
          <w:rFonts w:ascii="Arial Black" w:eastAsia="Calibri" w:hAnsi="Arial Black" w:cs="Century Schoolbook"/>
          <w:iCs/>
          <w:color w:val="221E1F"/>
          <w:sz w:val="16"/>
          <w:szCs w:val="16"/>
        </w:rPr>
        <w:t xml:space="preserve">Source: </w:t>
      </w:r>
      <w:hyperlink r:id="rId16" w:history="1">
        <w:r w:rsidRPr="00B021F1">
          <w:rPr>
            <w:rFonts w:eastAsia="Georgia" w:cstheme="minorHAnsi"/>
            <w:b/>
            <w:bCs/>
            <w:color w:val="0070C0"/>
            <w:sz w:val="20"/>
            <w:szCs w:val="20"/>
          </w:rPr>
          <w:t>https://d1y8sb8igg2f8e.cloudfront.net/documents/Culturally_Responsive_Teaching_2019-03-28_130012.pdf</w:t>
        </w:r>
      </w:hyperlink>
      <w:r w:rsidRPr="00B021F1">
        <w:rPr>
          <w:rFonts w:eastAsia="Georgia" w:cstheme="minorHAnsi"/>
          <w:b/>
          <w:bCs/>
          <w:color w:val="0070C0"/>
          <w:sz w:val="20"/>
          <w:szCs w:val="20"/>
        </w:rPr>
        <w:t xml:space="preserve"> </w:t>
      </w:r>
    </w:p>
    <w:p w14:paraId="66037597" w14:textId="77777777" w:rsidR="00B01BFF" w:rsidRPr="00FD2A7F" w:rsidRDefault="00B01BFF" w:rsidP="00B01BFF">
      <w:pPr>
        <w:pStyle w:val="ListParagraph"/>
        <w:autoSpaceDE w:val="0"/>
        <w:autoSpaceDN w:val="0"/>
        <w:adjustRightInd w:val="0"/>
        <w:spacing w:after="0" w:line="240" w:lineRule="auto"/>
        <w:rPr>
          <w:rFonts w:cs="Arial"/>
          <w:color w:val="221E1F"/>
          <w:sz w:val="12"/>
          <w:szCs w:val="20"/>
        </w:rPr>
      </w:pPr>
    </w:p>
    <w:p w14:paraId="28DBD051" w14:textId="01A3E1ED" w:rsidR="00DE3AB9" w:rsidRPr="00B021F1" w:rsidRDefault="00DE3AB9" w:rsidP="00DE3AB9">
      <w:pPr>
        <w:numPr>
          <w:ilvl w:val="0"/>
          <w:numId w:val="9"/>
        </w:numPr>
        <w:shd w:val="clear" w:color="auto" w:fill="DEEAF6" w:themeFill="accent1" w:themeFillTint="33"/>
        <w:spacing w:after="0" w:line="240" w:lineRule="auto"/>
        <w:contextualSpacing/>
        <w:rPr>
          <w:b/>
          <w:sz w:val="24"/>
        </w:rPr>
      </w:pPr>
      <w:r>
        <w:rPr>
          <w:b/>
          <w:sz w:val="24"/>
        </w:rPr>
        <w:t>The Vermont Guiding Principles</w:t>
      </w:r>
      <w:r w:rsidR="00CE68E7" w:rsidRPr="00CE68E7">
        <w:rPr>
          <w:b/>
          <w:sz w:val="24"/>
          <w:vertAlign w:val="superscript"/>
        </w:rPr>
        <w:t>1</w:t>
      </w:r>
      <w:r w:rsidR="0020602A" w:rsidRPr="00CE68E7">
        <w:rPr>
          <w:b/>
          <w:sz w:val="24"/>
          <w:vertAlign w:val="superscript"/>
        </w:rPr>
        <w:t xml:space="preserve">  </w:t>
      </w:r>
      <w:hyperlink r:id="rId17" w:history="1"/>
      <w:r w:rsidR="0020602A" w:rsidRPr="0020602A">
        <w:rPr>
          <w:b/>
          <w:sz w:val="24"/>
        </w:rPr>
        <w:t xml:space="preserve"> </w:t>
      </w:r>
    </w:p>
    <w:p w14:paraId="35D5C605" w14:textId="70286382" w:rsidR="00BC11A7" w:rsidRPr="00FD2A7F" w:rsidRDefault="00A21ECC" w:rsidP="00205B2D">
      <w:pPr>
        <w:spacing w:after="0" w:line="240" w:lineRule="auto"/>
        <w:jc w:val="center"/>
        <w:rPr>
          <w:sz w:val="12"/>
        </w:rPr>
      </w:pPr>
    </w:p>
    <w:p w14:paraId="2425E18F" w14:textId="361BDFB5" w:rsidR="00205B2D" w:rsidRDefault="00FF2803" w:rsidP="006F5587">
      <w:pPr>
        <w:numPr>
          <w:ilvl w:val="0"/>
          <w:numId w:val="9"/>
        </w:numPr>
        <w:shd w:val="clear" w:color="auto" w:fill="DEEAF6" w:themeFill="accent1" w:themeFillTint="33"/>
        <w:spacing w:after="0" w:line="240" w:lineRule="auto"/>
        <w:contextualSpacing/>
        <w:rPr>
          <w:b/>
          <w:sz w:val="24"/>
        </w:rPr>
      </w:pPr>
      <w:bookmarkStart w:id="0" w:name="_Hlk11922910"/>
      <w:r>
        <w:rPr>
          <w:b/>
          <w:sz w:val="24"/>
        </w:rPr>
        <w:t>Models of Change</w:t>
      </w:r>
    </w:p>
    <w:bookmarkEnd w:id="0"/>
    <w:p w14:paraId="1E063002" w14:textId="77777777" w:rsidR="00FF2803" w:rsidRPr="00FF2803" w:rsidRDefault="00FF2803" w:rsidP="00FF2803">
      <w:pPr>
        <w:pStyle w:val="ListParagraph"/>
        <w:numPr>
          <w:ilvl w:val="0"/>
          <w:numId w:val="13"/>
        </w:numPr>
        <w:rPr>
          <w:rFonts w:ascii="Calibri" w:eastAsia="Calibri" w:hAnsi="Calibri"/>
        </w:rPr>
      </w:pPr>
      <w:r w:rsidRPr="00FF2803">
        <w:rPr>
          <w:rFonts w:ascii="Calibri" w:eastAsia="Calibri" w:hAnsi="Calibri"/>
        </w:rPr>
        <w:t xml:space="preserve">Bradshaw, W. (2013). </w:t>
      </w:r>
      <w:r w:rsidRPr="00CE68E7">
        <w:rPr>
          <w:rFonts w:ascii="Calibri" w:eastAsia="Calibri" w:hAnsi="Calibri"/>
          <w:b/>
        </w:rPr>
        <w:t>A framework for providing culturally responsive early intervention services</w:t>
      </w:r>
      <w:r w:rsidRPr="00FF2803">
        <w:rPr>
          <w:rFonts w:ascii="Calibri" w:eastAsia="Calibri" w:hAnsi="Calibri"/>
        </w:rPr>
        <w:t xml:space="preserve">. </w:t>
      </w:r>
      <w:r w:rsidRPr="00FF2803">
        <w:rPr>
          <w:rFonts w:ascii="Calibri" w:eastAsia="Calibri" w:hAnsi="Calibri"/>
          <w:i/>
        </w:rPr>
        <w:t>Young Exceptional Children, 16</w:t>
      </w:r>
      <w:r w:rsidRPr="00FF2803">
        <w:rPr>
          <w:rFonts w:ascii="Calibri" w:eastAsia="Calibri" w:hAnsi="Calibri"/>
        </w:rPr>
        <w:t>(1), 3-15.</w:t>
      </w:r>
      <w:r w:rsidRPr="00FF2803">
        <w:rPr>
          <w:rFonts w:eastAsia="Calibri" w:cs="Tahoma"/>
          <w:b/>
          <w:bCs/>
          <w:color w:val="000000"/>
          <w:szCs w:val="20"/>
          <w:vertAlign w:val="superscript"/>
        </w:rPr>
        <w:t xml:space="preserve"> </w:t>
      </w:r>
      <w:bookmarkStart w:id="1" w:name="_Hlk11921148"/>
      <w:r w:rsidRPr="00FF2803">
        <w:rPr>
          <w:b/>
          <w:noProof/>
          <w:vertAlign w:val="superscript"/>
        </w:rPr>
        <w:t>1</w:t>
      </w:r>
      <w:bookmarkEnd w:id="1"/>
    </w:p>
    <w:p w14:paraId="6E6C78BE" w14:textId="637EB6CF" w:rsidR="00FF2803" w:rsidRPr="00CE68E7" w:rsidRDefault="00FF2803" w:rsidP="00FF2803">
      <w:pPr>
        <w:pStyle w:val="ListParagraph"/>
        <w:numPr>
          <w:ilvl w:val="0"/>
          <w:numId w:val="13"/>
        </w:numPr>
        <w:spacing w:after="0" w:line="240" w:lineRule="auto"/>
        <w:rPr>
          <w:b/>
          <w:noProof/>
        </w:rPr>
      </w:pPr>
      <w:r w:rsidRPr="00CE68E7">
        <w:rPr>
          <w:b/>
          <w:noProof/>
        </w:rPr>
        <w:t>Bank Street Center on Culture, Race and Equity Model of Change</w:t>
      </w:r>
      <w:r w:rsidR="00CE68E7" w:rsidRPr="00FF2803">
        <w:rPr>
          <w:b/>
          <w:noProof/>
          <w:vertAlign w:val="superscript"/>
        </w:rPr>
        <w:t>1</w:t>
      </w:r>
    </w:p>
    <w:p w14:paraId="5260FDD2" w14:textId="77777777" w:rsidR="00FF2803" w:rsidRPr="009F01AC" w:rsidRDefault="00A21ECC" w:rsidP="00FF2803">
      <w:pPr>
        <w:pStyle w:val="ListParagraph"/>
        <w:spacing w:after="0" w:line="240" w:lineRule="auto"/>
        <w:ind w:left="360"/>
        <w:rPr>
          <w:noProof/>
        </w:rPr>
      </w:pPr>
      <w:hyperlink r:id="rId18" w:history="1">
        <w:r w:rsidR="00FF2803" w:rsidRPr="009F01AC">
          <w:rPr>
            <w:rStyle w:val="Hyperlink"/>
            <w:b/>
            <w:sz w:val="20"/>
            <w:u w:val="none"/>
          </w:rPr>
          <w:t>https://www.bankstreet.edu/our-work-with-schools-and-communities/bank-street-education-center/center-on-culture-race-equity/ccre-approach/</w:t>
        </w:r>
      </w:hyperlink>
    </w:p>
    <w:p w14:paraId="50D02802" w14:textId="402C71CB" w:rsidR="00CE68E7" w:rsidRPr="00CE68E7" w:rsidRDefault="00CE68E7" w:rsidP="00CE68E7">
      <w:pPr>
        <w:pStyle w:val="ListParagraph"/>
        <w:numPr>
          <w:ilvl w:val="0"/>
          <w:numId w:val="13"/>
        </w:numPr>
        <w:spacing w:after="0" w:line="240" w:lineRule="auto"/>
        <w:rPr>
          <w:b/>
          <w:szCs w:val="15"/>
        </w:rPr>
      </w:pPr>
      <w:r w:rsidRPr="00CE68E7">
        <w:rPr>
          <w:b/>
          <w:szCs w:val="15"/>
        </w:rPr>
        <w:t>Equity Action Framework: Racial Equity in Early Childhood System</w:t>
      </w:r>
      <w:r w:rsidRPr="00FF2803">
        <w:rPr>
          <w:b/>
          <w:noProof/>
          <w:vertAlign w:val="superscript"/>
        </w:rPr>
        <w:t>1</w:t>
      </w:r>
    </w:p>
    <w:p w14:paraId="5C9BAF2A" w14:textId="253CD1CB" w:rsidR="00CE68E7" w:rsidRDefault="00A21ECC" w:rsidP="00CE68E7">
      <w:pPr>
        <w:spacing w:after="0" w:line="240" w:lineRule="auto"/>
        <w:ind w:left="360"/>
        <w:rPr>
          <w:rStyle w:val="Hyperlink"/>
          <w:rFonts w:eastAsia="Times New Roman" w:cstheme="minorHAnsi"/>
          <w:b/>
          <w:sz w:val="20"/>
          <w:szCs w:val="24"/>
          <w:u w:val="none"/>
        </w:rPr>
      </w:pPr>
      <w:hyperlink r:id="rId19" w:history="1">
        <w:r w:rsidR="00CE68E7" w:rsidRPr="00CE68E7">
          <w:rPr>
            <w:rStyle w:val="Hyperlink"/>
            <w:rFonts w:eastAsia="Times New Roman" w:cstheme="minorHAnsi"/>
            <w:b/>
            <w:sz w:val="20"/>
            <w:szCs w:val="24"/>
            <w:u w:val="none"/>
          </w:rPr>
          <w:t>http://buildinitiative.org/Portals/0/Uploads/Documents/Work/LearningCommunity/2017BUILDNationalMeeting/EquityActionFramework.pdf</w:t>
        </w:r>
      </w:hyperlink>
      <w:r w:rsidR="00CE68E7" w:rsidRPr="00CE68E7">
        <w:rPr>
          <w:rStyle w:val="Hyperlink"/>
          <w:rFonts w:eastAsia="Times New Roman" w:cstheme="minorHAnsi"/>
          <w:b/>
          <w:sz w:val="20"/>
          <w:szCs w:val="24"/>
          <w:u w:val="none"/>
        </w:rPr>
        <w:t xml:space="preserve"> </w:t>
      </w:r>
    </w:p>
    <w:p w14:paraId="2949252D" w14:textId="4E679A19" w:rsidR="00F326BE" w:rsidRDefault="00F326BE" w:rsidP="00CE68E7">
      <w:pPr>
        <w:spacing w:after="0" w:line="240" w:lineRule="auto"/>
        <w:ind w:left="360"/>
        <w:rPr>
          <w:rStyle w:val="Hyperlink"/>
          <w:rFonts w:eastAsia="Times New Roman" w:cstheme="minorHAnsi"/>
          <w:b/>
          <w:sz w:val="20"/>
          <w:szCs w:val="24"/>
          <w:u w:val="none"/>
        </w:rPr>
      </w:pPr>
    </w:p>
    <w:p w14:paraId="0FD0E42B" w14:textId="719507D4" w:rsidR="00F326BE" w:rsidRDefault="00F326BE" w:rsidP="00F326BE">
      <w:pPr>
        <w:numPr>
          <w:ilvl w:val="0"/>
          <w:numId w:val="9"/>
        </w:numPr>
        <w:shd w:val="clear" w:color="auto" w:fill="DEEAF6" w:themeFill="accent1" w:themeFillTint="33"/>
        <w:spacing w:after="0" w:line="240" w:lineRule="auto"/>
        <w:contextualSpacing/>
        <w:rPr>
          <w:b/>
          <w:sz w:val="24"/>
        </w:rPr>
      </w:pPr>
      <w:r>
        <w:rPr>
          <w:b/>
          <w:sz w:val="24"/>
        </w:rPr>
        <w:lastRenderedPageBreak/>
        <w:t>Building a Consistent, Statewide Emphasis on Full Participation and Equity</w:t>
      </w:r>
    </w:p>
    <w:p w14:paraId="778F95B5" w14:textId="77777777" w:rsidR="00F326BE" w:rsidRPr="00F326BE" w:rsidRDefault="00F326BE" w:rsidP="00CE68E7">
      <w:pPr>
        <w:spacing w:after="0" w:line="240" w:lineRule="auto"/>
        <w:ind w:left="360"/>
        <w:rPr>
          <w:rStyle w:val="Hyperlink"/>
          <w:rFonts w:eastAsia="Times New Roman" w:cstheme="minorHAnsi"/>
          <w:b/>
          <w:sz w:val="8"/>
          <w:szCs w:val="24"/>
          <w:u w:val="none"/>
        </w:rPr>
      </w:pPr>
    </w:p>
    <w:p w14:paraId="4D048AEB" w14:textId="203BB987" w:rsidR="00205B2D" w:rsidRPr="00F326BE" w:rsidRDefault="00205B2D" w:rsidP="006F5587">
      <w:pPr>
        <w:pStyle w:val="ListParagraph"/>
        <w:numPr>
          <w:ilvl w:val="0"/>
          <w:numId w:val="4"/>
        </w:numPr>
        <w:spacing w:after="0" w:line="240" w:lineRule="auto"/>
        <w:ind w:left="360"/>
        <w:rPr>
          <w:b/>
          <w:noProof/>
        </w:rPr>
      </w:pPr>
      <w:r w:rsidRPr="00F326BE">
        <w:rPr>
          <w:b/>
          <w:noProof/>
        </w:rPr>
        <w:t>Vocabulary</w:t>
      </w:r>
    </w:p>
    <w:p w14:paraId="1DCCF850" w14:textId="435D3D5D" w:rsidR="00205B2D" w:rsidRDefault="00205B2D" w:rsidP="00F326BE">
      <w:pPr>
        <w:pStyle w:val="ListParagraph"/>
        <w:numPr>
          <w:ilvl w:val="0"/>
          <w:numId w:val="14"/>
        </w:numPr>
        <w:spacing w:after="0" w:line="240" w:lineRule="auto"/>
        <w:rPr>
          <w:noProof/>
        </w:rPr>
      </w:pPr>
      <w:r w:rsidRPr="008949A1">
        <w:rPr>
          <w:noProof/>
        </w:rPr>
        <w:t>All → Each and every</w:t>
      </w:r>
    </w:p>
    <w:p w14:paraId="36F941AF" w14:textId="77777777" w:rsidR="00B01BFF" w:rsidRPr="008949A1" w:rsidRDefault="00B01BFF" w:rsidP="00F326BE">
      <w:pPr>
        <w:pStyle w:val="ListParagraph"/>
        <w:numPr>
          <w:ilvl w:val="0"/>
          <w:numId w:val="14"/>
        </w:numPr>
        <w:spacing w:after="0" w:line="240" w:lineRule="auto"/>
        <w:rPr>
          <w:noProof/>
        </w:rPr>
      </w:pPr>
      <w:r w:rsidRPr="008949A1">
        <w:rPr>
          <w:noProof/>
        </w:rPr>
        <w:t>Parents → Families or Parents and Families</w:t>
      </w:r>
    </w:p>
    <w:p w14:paraId="79774275" w14:textId="7DBDBA4C" w:rsidR="00205B2D" w:rsidRDefault="00205B2D" w:rsidP="00F326BE">
      <w:pPr>
        <w:pStyle w:val="ListParagraph"/>
        <w:numPr>
          <w:ilvl w:val="0"/>
          <w:numId w:val="14"/>
        </w:numPr>
        <w:spacing w:after="0" w:line="240" w:lineRule="auto"/>
        <w:rPr>
          <w:noProof/>
        </w:rPr>
      </w:pPr>
      <w:r w:rsidRPr="008949A1">
        <w:rPr>
          <w:noProof/>
        </w:rPr>
        <w:t>Inclusion → Full participation</w:t>
      </w:r>
    </w:p>
    <w:p w14:paraId="395CF9F2" w14:textId="77777777" w:rsidR="00B01BFF" w:rsidRPr="000013D2" w:rsidRDefault="00B01BFF" w:rsidP="00B01BFF">
      <w:pPr>
        <w:keepNext/>
        <w:keepLines/>
        <w:spacing w:after="0" w:line="240" w:lineRule="auto"/>
        <w:ind w:firstLine="720"/>
        <w:outlineLvl w:val="0"/>
        <w:rPr>
          <w:rFonts w:eastAsiaTheme="majorEastAsia" w:cstheme="minorHAnsi"/>
          <w:b/>
          <w:color w:val="2E74B5" w:themeColor="accent1" w:themeShade="BF"/>
          <w:szCs w:val="32"/>
        </w:rPr>
      </w:pPr>
      <w:r w:rsidRPr="000013D2">
        <w:rPr>
          <w:rFonts w:eastAsiaTheme="majorEastAsia" w:cstheme="minorHAnsi"/>
          <w:b/>
          <w:color w:val="2E74B5" w:themeColor="accent1" w:themeShade="BF"/>
          <w:szCs w:val="32"/>
        </w:rPr>
        <w:t>Early Childhood Inclusion</w:t>
      </w:r>
    </w:p>
    <w:p w14:paraId="3EED87D0" w14:textId="77777777" w:rsidR="00B01BFF" w:rsidRPr="000013D2" w:rsidRDefault="00B01BFF" w:rsidP="00B01BFF">
      <w:pPr>
        <w:spacing w:after="0" w:line="240" w:lineRule="auto"/>
        <w:rPr>
          <w:rFonts w:cs="Century Schoolbook"/>
          <w:i/>
          <w:iCs/>
          <w:color w:val="221E1F"/>
          <w:sz w:val="20"/>
          <w:szCs w:val="20"/>
        </w:rPr>
      </w:pPr>
      <w:r w:rsidRPr="000013D2">
        <w:rPr>
          <w:rFonts w:cs="Century Schoolbook"/>
          <w:i/>
          <w:iCs/>
          <w:color w:val="221E1F"/>
          <w:sz w:val="20"/>
          <w:szCs w:val="20"/>
        </w:rPr>
        <w:t>Early childhood inclusion embodies the values, policies, and practices that support the right of every infant and young child and his or her fam</w:t>
      </w:r>
      <w:r w:rsidRPr="000013D2">
        <w:rPr>
          <w:rFonts w:cs="Century Schoolbook"/>
          <w:i/>
          <w:iCs/>
          <w:color w:val="221E1F"/>
          <w:sz w:val="20"/>
          <w:szCs w:val="20"/>
        </w:rPr>
        <w:softHyphen/>
        <w:t>ily, regardless of ability, to participate in a broad range of activities and contexts as full members of families, communities, and society. The desired re</w:t>
      </w:r>
      <w:r w:rsidRPr="000013D2">
        <w:rPr>
          <w:rFonts w:cs="Century Schoolbook"/>
          <w:i/>
          <w:iCs/>
          <w:color w:val="221E1F"/>
          <w:sz w:val="20"/>
          <w:szCs w:val="20"/>
        </w:rPr>
        <w:softHyphen/>
        <w:t>sults of inclusive experiences for children with and without disabilities and their families include a sense of belonging and membership, positive social relationships and friendships, and development and learning to reach their full potential. The defin</w:t>
      </w:r>
      <w:r w:rsidRPr="000013D2">
        <w:rPr>
          <w:rFonts w:cs="Century Schoolbook"/>
          <w:i/>
          <w:iCs/>
          <w:color w:val="221E1F"/>
          <w:sz w:val="20"/>
          <w:szCs w:val="20"/>
        </w:rPr>
        <w:softHyphen/>
        <w:t>ing features of inclusion that can be used to identify high quality early childhood programs and services are access, participation, and supports.</w:t>
      </w:r>
    </w:p>
    <w:p w14:paraId="39801AAB" w14:textId="77777777" w:rsidR="00B01BFF" w:rsidRDefault="00B01BFF" w:rsidP="00B01BFF">
      <w:pPr>
        <w:autoSpaceDE w:val="0"/>
        <w:autoSpaceDN w:val="0"/>
        <w:adjustRightInd w:val="0"/>
        <w:spacing w:after="0" w:line="240" w:lineRule="auto"/>
        <w:rPr>
          <w:rFonts w:cs="Arial"/>
          <w:b/>
          <w:color w:val="0563C1" w:themeColor="hyperlink"/>
          <w:sz w:val="20"/>
          <w:szCs w:val="20"/>
        </w:rPr>
      </w:pPr>
      <w:r w:rsidRPr="003311E5">
        <w:rPr>
          <w:rFonts w:ascii="Arial Black" w:hAnsi="Arial Black" w:cs="Century Schoolbook"/>
          <w:iCs/>
          <w:color w:val="221E1F"/>
          <w:sz w:val="16"/>
          <w:szCs w:val="16"/>
        </w:rPr>
        <w:t>Source:</w:t>
      </w:r>
      <w:r w:rsidRPr="003311E5">
        <w:rPr>
          <w:rFonts w:ascii="Arial" w:hAnsi="Arial" w:cs="Century Schoolbook"/>
          <w:iCs/>
          <w:color w:val="221E1F"/>
          <w:sz w:val="16"/>
          <w:szCs w:val="16"/>
        </w:rPr>
        <w:t xml:space="preserve"> </w:t>
      </w:r>
      <w:r w:rsidRPr="000013D2">
        <w:rPr>
          <w:rFonts w:cs="Arial"/>
          <w:color w:val="221E1F"/>
          <w:sz w:val="20"/>
          <w:szCs w:val="20"/>
        </w:rPr>
        <w:t xml:space="preserve">DEC/NAEYC. (2009). </w:t>
      </w:r>
      <w:r w:rsidRPr="000013D2">
        <w:rPr>
          <w:rFonts w:cs="Arial"/>
          <w:i/>
          <w:iCs/>
          <w:color w:val="221E1F"/>
          <w:sz w:val="20"/>
          <w:szCs w:val="20"/>
        </w:rPr>
        <w:t xml:space="preserve">Early childhood inclusion: A joint position statement of the Division for Early Childhood (DEC) and the National Association for the Education of Young Children (NAEYC). </w:t>
      </w:r>
      <w:r w:rsidRPr="000013D2">
        <w:rPr>
          <w:rFonts w:cs="Arial"/>
          <w:color w:val="221E1F"/>
          <w:sz w:val="20"/>
          <w:szCs w:val="20"/>
        </w:rPr>
        <w:t xml:space="preserve">Chapel Hill: The University of North Carolina, FPG Child Development Institute. </w:t>
      </w:r>
      <w:hyperlink r:id="rId20" w:history="1">
        <w:r w:rsidRPr="000013D2">
          <w:rPr>
            <w:rFonts w:cs="Arial"/>
            <w:b/>
            <w:color w:val="0563C1" w:themeColor="hyperlink"/>
            <w:sz w:val="20"/>
            <w:szCs w:val="20"/>
          </w:rPr>
          <w:t>http://npdci.fpg.unc.edu/resources/articles/Early_Childhood_Inclusion</w:t>
        </w:r>
      </w:hyperlink>
    </w:p>
    <w:p w14:paraId="028BDF60" w14:textId="77777777" w:rsidR="00B01BFF" w:rsidRPr="00B01BFF" w:rsidRDefault="00B01BFF" w:rsidP="00B01BFF">
      <w:pPr>
        <w:autoSpaceDE w:val="0"/>
        <w:autoSpaceDN w:val="0"/>
        <w:adjustRightInd w:val="0"/>
        <w:spacing w:after="0" w:line="240" w:lineRule="auto"/>
        <w:rPr>
          <w:rFonts w:cs="Arial"/>
          <w:b/>
          <w:color w:val="0563C1" w:themeColor="hyperlink"/>
          <w:sz w:val="8"/>
          <w:szCs w:val="20"/>
        </w:rPr>
      </w:pPr>
    </w:p>
    <w:p w14:paraId="4B0523C4" w14:textId="77777777" w:rsidR="00B01BFF" w:rsidRPr="00B01BFF" w:rsidRDefault="00B01BFF" w:rsidP="00B01BFF">
      <w:pPr>
        <w:pStyle w:val="ListParagraph"/>
        <w:numPr>
          <w:ilvl w:val="0"/>
          <w:numId w:val="12"/>
        </w:numPr>
        <w:autoSpaceDE w:val="0"/>
        <w:autoSpaceDN w:val="0"/>
        <w:adjustRightInd w:val="0"/>
        <w:spacing w:after="0" w:line="240" w:lineRule="auto"/>
        <w:rPr>
          <w:rFonts w:cs="Arial"/>
          <w:color w:val="221E1F"/>
          <w:sz w:val="20"/>
          <w:szCs w:val="20"/>
        </w:rPr>
      </w:pPr>
      <w:r w:rsidRPr="00B01BFF">
        <w:rPr>
          <w:rFonts w:cs="Arial"/>
          <w:color w:val="221E1F"/>
          <w:sz w:val="20"/>
          <w:szCs w:val="20"/>
        </w:rPr>
        <w:t xml:space="preserve">NBCDI - </w:t>
      </w:r>
      <w:r w:rsidRPr="00B01BFF">
        <w:rPr>
          <w:rFonts w:cstheme="minorHAnsi"/>
          <w:szCs w:val="15"/>
        </w:rPr>
        <w:t xml:space="preserve">Delivering on the Promise of Effective Early Childhood Education for Black Children: Eliminating Exclusionary Discipline and Concentrating on Inclusion </w:t>
      </w:r>
      <w:hyperlink r:id="rId21" w:history="1">
        <w:r w:rsidRPr="00B01BFF">
          <w:rPr>
            <w:rStyle w:val="Hyperlink"/>
            <w:b/>
            <w:bCs/>
            <w:u w:val="none"/>
          </w:rPr>
          <w:t>https://tinyurl.com/y4wovfwv</w:t>
        </w:r>
      </w:hyperlink>
      <w:r w:rsidRPr="00B01BFF">
        <w:rPr>
          <w:b/>
          <w:bCs/>
        </w:rPr>
        <w:t xml:space="preserve"> </w:t>
      </w:r>
    </w:p>
    <w:p w14:paraId="67DBA2F1" w14:textId="77777777" w:rsidR="00205B2D" w:rsidRPr="001A7183" w:rsidRDefault="00205B2D" w:rsidP="00205B2D">
      <w:pPr>
        <w:pStyle w:val="ListParagraph"/>
        <w:spacing w:after="0" w:line="240" w:lineRule="auto"/>
        <w:ind w:left="1440"/>
        <w:rPr>
          <w:b/>
          <w:noProof/>
          <w:sz w:val="12"/>
        </w:rPr>
      </w:pPr>
    </w:p>
    <w:p w14:paraId="56E948F1" w14:textId="7623ED4F" w:rsidR="00205B2D" w:rsidRDefault="00205B2D" w:rsidP="006F5587">
      <w:pPr>
        <w:pStyle w:val="ListParagraph"/>
        <w:numPr>
          <w:ilvl w:val="0"/>
          <w:numId w:val="4"/>
        </w:numPr>
        <w:spacing w:after="0" w:line="240" w:lineRule="auto"/>
        <w:ind w:left="360"/>
        <w:rPr>
          <w:b/>
          <w:noProof/>
        </w:rPr>
      </w:pPr>
      <w:r w:rsidRPr="00F326BE">
        <w:rPr>
          <w:b/>
          <w:noProof/>
        </w:rPr>
        <w:t>Personal</w:t>
      </w:r>
      <w:r w:rsidR="00806882" w:rsidRPr="00F326BE">
        <w:rPr>
          <w:b/>
          <w:noProof/>
        </w:rPr>
        <w:t>/Individual</w:t>
      </w:r>
    </w:p>
    <w:p w14:paraId="3F665463" w14:textId="77777777" w:rsidR="00F326BE" w:rsidRPr="00F326BE" w:rsidRDefault="00F326BE" w:rsidP="00F326BE">
      <w:pPr>
        <w:pStyle w:val="ListParagraph"/>
        <w:numPr>
          <w:ilvl w:val="0"/>
          <w:numId w:val="14"/>
        </w:numPr>
        <w:spacing w:after="0" w:line="240" w:lineRule="auto"/>
        <w:rPr>
          <w:noProof/>
        </w:rPr>
      </w:pPr>
      <w:r w:rsidRPr="00F326BE">
        <w:rPr>
          <w:noProof/>
        </w:rPr>
        <w:t>Equity Resources handout</w:t>
      </w:r>
      <w:r w:rsidRPr="00F326BE">
        <w:rPr>
          <w:b/>
          <w:noProof/>
          <w:vertAlign w:val="superscript"/>
        </w:rPr>
        <w:t>1</w:t>
      </w:r>
    </w:p>
    <w:p w14:paraId="6F80A50E" w14:textId="77777777" w:rsidR="001A7183" w:rsidRPr="001A7183" w:rsidRDefault="001A7183" w:rsidP="001A7183">
      <w:pPr>
        <w:pStyle w:val="ListParagraph"/>
        <w:numPr>
          <w:ilvl w:val="0"/>
          <w:numId w:val="14"/>
        </w:numPr>
        <w:spacing w:after="0" w:line="240" w:lineRule="auto"/>
        <w:rPr>
          <w:b/>
          <w:noProof/>
        </w:rPr>
      </w:pPr>
      <w:r w:rsidRPr="001A7183">
        <w:rPr>
          <w:rFonts w:ascii="Calibri" w:eastAsia="Calibri" w:hAnsi="Calibri" w:cs="Times New Roman"/>
        </w:rPr>
        <w:t>Center for Equity &amp; Excellence Community-Based Equity Audit</w:t>
      </w:r>
      <w:r w:rsidRPr="001A7183">
        <w:rPr>
          <w:rFonts w:ascii="Calibri" w:eastAsia="Calibri" w:hAnsi="Calibri" w:cs="Times New Roman"/>
          <w:b/>
        </w:rPr>
        <w:t xml:space="preserve"> </w:t>
      </w:r>
    </w:p>
    <w:p w14:paraId="39833219" w14:textId="35490618" w:rsidR="001A7183" w:rsidRDefault="00A21ECC" w:rsidP="001A7183">
      <w:pPr>
        <w:pStyle w:val="ListParagraph"/>
        <w:spacing w:after="0" w:line="240" w:lineRule="auto"/>
        <w:ind w:left="360"/>
        <w:rPr>
          <w:rStyle w:val="Hyperlink"/>
          <w:rFonts w:eastAsia="Times New Roman" w:cs="Times New Roman"/>
          <w:b/>
          <w:iCs/>
          <w:sz w:val="20"/>
          <w:szCs w:val="24"/>
          <w:u w:val="none"/>
        </w:rPr>
      </w:pPr>
      <w:hyperlink r:id="rId22" w:history="1">
        <w:r w:rsidR="001A7183" w:rsidRPr="001A7183">
          <w:rPr>
            <w:rStyle w:val="Hyperlink"/>
            <w:rFonts w:eastAsia="Times New Roman" w:cs="Times New Roman"/>
            <w:b/>
            <w:iCs/>
            <w:sz w:val="20"/>
            <w:szCs w:val="24"/>
            <w:u w:val="none"/>
          </w:rPr>
          <w:t>http://ireeinc.com/file_download/f9e45cdd-8b0e-414b-bae0-8b1f85b54161</w:t>
        </w:r>
      </w:hyperlink>
    </w:p>
    <w:p w14:paraId="4D7B91DF" w14:textId="77777777" w:rsidR="001A7183" w:rsidRPr="001A7183" w:rsidRDefault="001A7183" w:rsidP="001A7183">
      <w:pPr>
        <w:pStyle w:val="ListParagraph"/>
        <w:spacing w:after="0" w:line="240" w:lineRule="auto"/>
        <w:ind w:left="360"/>
        <w:rPr>
          <w:b/>
          <w:noProof/>
          <w:sz w:val="12"/>
        </w:rPr>
      </w:pPr>
    </w:p>
    <w:p w14:paraId="7C67472B" w14:textId="77777777" w:rsidR="001A7183" w:rsidRPr="00F326BE" w:rsidRDefault="001A7183" w:rsidP="001A7183">
      <w:pPr>
        <w:pStyle w:val="ListParagraph"/>
        <w:numPr>
          <w:ilvl w:val="0"/>
          <w:numId w:val="4"/>
        </w:numPr>
        <w:spacing w:after="0" w:line="240" w:lineRule="auto"/>
        <w:ind w:left="360"/>
        <w:rPr>
          <w:b/>
          <w:noProof/>
        </w:rPr>
      </w:pPr>
      <w:r w:rsidRPr="00F326BE">
        <w:rPr>
          <w:b/>
          <w:noProof/>
        </w:rPr>
        <w:t>Professional</w:t>
      </w:r>
    </w:p>
    <w:p w14:paraId="607754F9" w14:textId="6723ACEA" w:rsidR="001A7183" w:rsidRPr="001A7183" w:rsidRDefault="001A7183" w:rsidP="00B06885">
      <w:pPr>
        <w:pStyle w:val="ListParagraph"/>
        <w:numPr>
          <w:ilvl w:val="0"/>
          <w:numId w:val="14"/>
        </w:numPr>
        <w:spacing w:after="0" w:line="240" w:lineRule="auto"/>
        <w:rPr>
          <w:noProof/>
        </w:rPr>
      </w:pPr>
      <w:r w:rsidRPr="001A7183">
        <w:rPr>
          <w:noProof/>
        </w:rPr>
        <w:t>Evidence for the Guiding Principles</w:t>
      </w:r>
      <w:bookmarkStart w:id="2" w:name="_Hlk11924173"/>
      <w:r w:rsidRPr="001A7183">
        <w:rPr>
          <w:b/>
          <w:noProof/>
          <w:vertAlign w:val="superscript"/>
        </w:rPr>
        <w:t>1</w:t>
      </w:r>
      <w:bookmarkEnd w:id="2"/>
    </w:p>
    <w:p w14:paraId="5B53F838" w14:textId="7D9BE399" w:rsidR="00F326BE" w:rsidRPr="00B06885" w:rsidRDefault="00B06885" w:rsidP="00B06885">
      <w:pPr>
        <w:pStyle w:val="ListParagraph"/>
        <w:numPr>
          <w:ilvl w:val="0"/>
          <w:numId w:val="14"/>
        </w:numPr>
        <w:spacing w:after="0" w:line="240" w:lineRule="auto"/>
        <w:rPr>
          <w:b/>
          <w:noProof/>
        </w:rPr>
      </w:pPr>
      <w:r w:rsidRPr="00AC2C17">
        <w:rPr>
          <w:noProof/>
        </w:rPr>
        <w:t>The Right Stuff (listserv)</w:t>
      </w:r>
      <w:r>
        <w:rPr>
          <w:b/>
          <w:noProof/>
        </w:rPr>
        <w:t xml:space="preserve"> - </w:t>
      </w:r>
      <w:hyperlink r:id="rId23" w:history="1">
        <w:r w:rsidR="00AC2C17" w:rsidRPr="00AC2C17">
          <w:rPr>
            <w:rStyle w:val="Hyperlink"/>
            <w:b/>
            <w:noProof/>
            <w:sz w:val="20"/>
            <w:u w:val="none"/>
          </w:rPr>
          <w:t>https://fpg.unc.edu/presentations/right-stuff</w:t>
        </w:r>
      </w:hyperlink>
      <w:r w:rsidR="00AC2C17">
        <w:rPr>
          <w:b/>
          <w:noProof/>
        </w:rPr>
        <w:t xml:space="preserve"> </w:t>
      </w:r>
    </w:p>
    <w:p w14:paraId="394DA396" w14:textId="7276AEA6" w:rsidR="008949A1" w:rsidRPr="001A7183" w:rsidRDefault="008949A1" w:rsidP="006F5587">
      <w:pPr>
        <w:pStyle w:val="ListParagraph"/>
        <w:numPr>
          <w:ilvl w:val="1"/>
          <w:numId w:val="1"/>
        </w:numPr>
        <w:spacing w:after="0" w:line="240" w:lineRule="auto"/>
        <w:ind w:left="360"/>
        <w:rPr>
          <w:b/>
          <w:noProof/>
          <w:sz w:val="18"/>
        </w:rPr>
      </w:pPr>
      <w:r w:rsidRPr="00AC2C17">
        <w:rPr>
          <w:noProof/>
        </w:rPr>
        <w:t xml:space="preserve">Free annotated resource collections </w:t>
      </w:r>
      <w:r w:rsidR="00AC2C17">
        <w:rPr>
          <w:noProof/>
        </w:rPr>
        <w:t xml:space="preserve">- </w:t>
      </w:r>
      <w:bookmarkStart w:id="3" w:name="_Hlk11923932"/>
      <w:r w:rsidR="001A7183" w:rsidRPr="001A7183">
        <w:rPr>
          <w:b/>
          <w:noProof/>
          <w:sz w:val="20"/>
        </w:rPr>
        <w:fldChar w:fldCharType="begin"/>
      </w:r>
      <w:r w:rsidR="001A7183" w:rsidRPr="001A7183">
        <w:rPr>
          <w:b/>
          <w:noProof/>
          <w:sz w:val="20"/>
        </w:rPr>
        <w:instrText xml:space="preserve"> HYPERLINK "https://fpg.unc.edu/presentations/vermont-resource-collections" </w:instrText>
      </w:r>
      <w:r w:rsidR="001A7183" w:rsidRPr="001A7183">
        <w:rPr>
          <w:b/>
          <w:noProof/>
          <w:sz w:val="20"/>
        </w:rPr>
        <w:fldChar w:fldCharType="separate"/>
      </w:r>
      <w:r w:rsidR="001A7183" w:rsidRPr="001A7183">
        <w:rPr>
          <w:rStyle w:val="Hyperlink"/>
          <w:b/>
          <w:noProof/>
          <w:sz w:val="20"/>
          <w:u w:val="none"/>
        </w:rPr>
        <w:t>https://fpg.unc.edu/presentations/vermont-resource-collections</w:t>
      </w:r>
      <w:r w:rsidR="001A7183" w:rsidRPr="001A7183">
        <w:rPr>
          <w:b/>
          <w:noProof/>
          <w:sz w:val="20"/>
        </w:rPr>
        <w:fldChar w:fldCharType="end"/>
      </w:r>
      <w:bookmarkEnd w:id="3"/>
      <w:r w:rsidR="001A7183" w:rsidRPr="001A7183">
        <w:rPr>
          <w:b/>
          <w:noProof/>
          <w:sz w:val="20"/>
        </w:rPr>
        <w:t xml:space="preserve"> </w:t>
      </w:r>
    </w:p>
    <w:p w14:paraId="4E17081F" w14:textId="65096F7E" w:rsidR="001A7183" w:rsidRPr="001C400A" w:rsidRDefault="001A7183" w:rsidP="006F5587">
      <w:pPr>
        <w:pStyle w:val="ListParagraph"/>
        <w:numPr>
          <w:ilvl w:val="1"/>
          <w:numId w:val="1"/>
        </w:numPr>
        <w:spacing w:after="0" w:line="240" w:lineRule="auto"/>
        <w:ind w:left="360"/>
        <w:rPr>
          <w:noProof/>
        </w:rPr>
      </w:pPr>
      <w:r w:rsidRPr="001A7183">
        <w:rPr>
          <w:noProof/>
        </w:rPr>
        <w:t>Personas</w:t>
      </w:r>
      <w:r>
        <w:rPr>
          <w:noProof/>
        </w:rPr>
        <w:t xml:space="preserve"> - </w:t>
      </w:r>
      <w:hyperlink r:id="rId24" w:history="1">
        <w:r w:rsidRPr="001A7183">
          <w:rPr>
            <w:rStyle w:val="Hyperlink"/>
            <w:b/>
            <w:noProof/>
            <w:sz w:val="20"/>
            <w:u w:val="none"/>
          </w:rPr>
          <w:t>https://fpg.unc.edu/presentations/vermont-resource-collections</w:t>
        </w:r>
      </w:hyperlink>
    </w:p>
    <w:p w14:paraId="36071AE7" w14:textId="14F6E854" w:rsidR="001C400A" w:rsidRPr="001A7183" w:rsidRDefault="001C400A" w:rsidP="006F5587">
      <w:pPr>
        <w:pStyle w:val="ListParagraph"/>
        <w:numPr>
          <w:ilvl w:val="1"/>
          <w:numId w:val="1"/>
        </w:numPr>
        <w:spacing w:after="0" w:line="240" w:lineRule="auto"/>
        <w:ind w:left="360"/>
        <w:rPr>
          <w:noProof/>
        </w:rPr>
      </w:pPr>
      <w:r>
        <w:rPr>
          <w:noProof/>
        </w:rPr>
        <w:t>Listening to Family Stories</w:t>
      </w:r>
      <w:r w:rsidRPr="001A7183">
        <w:rPr>
          <w:b/>
          <w:noProof/>
          <w:vertAlign w:val="superscript"/>
        </w:rPr>
        <w:t>1</w:t>
      </w:r>
    </w:p>
    <w:p w14:paraId="445D43F0" w14:textId="77777777" w:rsidR="00304FE3" w:rsidRPr="00F326BE" w:rsidRDefault="00304FE3" w:rsidP="006F5587">
      <w:pPr>
        <w:pStyle w:val="ListParagraph"/>
        <w:spacing w:after="0" w:line="240" w:lineRule="auto"/>
        <w:ind w:left="1080"/>
        <w:rPr>
          <w:b/>
          <w:noProof/>
          <w:sz w:val="16"/>
        </w:rPr>
      </w:pPr>
    </w:p>
    <w:p w14:paraId="666635F8" w14:textId="3CDD978B" w:rsidR="00205B2D" w:rsidRDefault="00205B2D" w:rsidP="009F01AC">
      <w:pPr>
        <w:pStyle w:val="ListParagraph"/>
        <w:numPr>
          <w:ilvl w:val="0"/>
          <w:numId w:val="4"/>
        </w:numPr>
        <w:spacing w:after="0" w:line="240" w:lineRule="auto"/>
        <w:ind w:left="360"/>
        <w:rPr>
          <w:b/>
          <w:noProof/>
          <w:sz w:val="24"/>
        </w:rPr>
      </w:pPr>
      <w:r w:rsidRPr="009F01AC">
        <w:rPr>
          <w:b/>
          <w:noProof/>
          <w:sz w:val="24"/>
        </w:rPr>
        <w:t>Institutional</w:t>
      </w:r>
      <w:r w:rsidR="0012129E" w:rsidRPr="009F01AC">
        <w:rPr>
          <w:b/>
          <w:noProof/>
          <w:sz w:val="24"/>
        </w:rPr>
        <w:t>/Systemic</w:t>
      </w:r>
    </w:p>
    <w:p w14:paraId="1C0B8F2F" w14:textId="663C6EC6" w:rsidR="001C400A" w:rsidRDefault="001C400A" w:rsidP="001C400A">
      <w:pPr>
        <w:pStyle w:val="ListParagraph"/>
        <w:numPr>
          <w:ilvl w:val="0"/>
          <w:numId w:val="15"/>
        </w:numPr>
        <w:spacing w:after="0" w:line="240" w:lineRule="auto"/>
        <w:rPr>
          <w:noProof/>
        </w:rPr>
      </w:pPr>
      <w:r w:rsidRPr="001C400A">
        <w:rPr>
          <w:noProof/>
        </w:rPr>
        <w:t>Professional Development – Master Classes</w:t>
      </w:r>
    </w:p>
    <w:p w14:paraId="37728DFA" w14:textId="17FFF06F" w:rsidR="001C400A" w:rsidRDefault="00523BB2" w:rsidP="001C400A">
      <w:pPr>
        <w:pStyle w:val="ListParagraph"/>
        <w:numPr>
          <w:ilvl w:val="0"/>
          <w:numId w:val="15"/>
        </w:numPr>
        <w:spacing w:after="0" w:line="240" w:lineRule="auto"/>
        <w:rPr>
          <w:noProof/>
        </w:rPr>
      </w:pPr>
      <w:r>
        <w:rPr>
          <w:noProof/>
        </w:rPr>
        <w:t>Systemic</w:t>
      </w:r>
    </w:p>
    <w:p w14:paraId="50B7A0A0" w14:textId="507CEF40" w:rsidR="00523BB2" w:rsidRDefault="00523BB2" w:rsidP="00523BB2">
      <w:pPr>
        <w:pStyle w:val="ListParagraph"/>
        <w:numPr>
          <w:ilvl w:val="1"/>
          <w:numId w:val="15"/>
        </w:numPr>
        <w:spacing w:after="0" w:line="240" w:lineRule="auto"/>
        <w:rPr>
          <w:noProof/>
        </w:rPr>
      </w:pPr>
      <w:r>
        <w:rPr>
          <w:noProof/>
        </w:rPr>
        <w:t>Guiding Principles on each table</w:t>
      </w:r>
    </w:p>
    <w:p w14:paraId="074B6F3D" w14:textId="77777777" w:rsidR="00D74FB9" w:rsidRPr="001C400A" w:rsidRDefault="00D74FB9" w:rsidP="00D74FB9">
      <w:pPr>
        <w:pStyle w:val="ListParagraph"/>
        <w:numPr>
          <w:ilvl w:val="1"/>
          <w:numId w:val="15"/>
        </w:numPr>
        <w:spacing w:after="0" w:line="240" w:lineRule="auto"/>
        <w:rPr>
          <w:noProof/>
        </w:rPr>
      </w:pPr>
      <w:r>
        <w:rPr>
          <w:noProof/>
        </w:rPr>
        <w:t>Endorsement</w:t>
      </w:r>
    </w:p>
    <w:p w14:paraId="46DE489D" w14:textId="784E48FD" w:rsidR="00523BB2" w:rsidRDefault="00523BB2" w:rsidP="00523BB2">
      <w:pPr>
        <w:pStyle w:val="ListParagraph"/>
        <w:numPr>
          <w:ilvl w:val="1"/>
          <w:numId w:val="15"/>
        </w:numPr>
        <w:spacing w:after="0" w:line="240" w:lineRule="auto"/>
        <w:rPr>
          <w:noProof/>
        </w:rPr>
      </w:pPr>
      <w:r>
        <w:rPr>
          <w:noProof/>
        </w:rPr>
        <w:t xml:space="preserve">STARS evolution </w:t>
      </w:r>
      <w:r w:rsidR="00D74FB9">
        <w:rPr>
          <w:noProof/>
        </w:rPr>
        <w:t xml:space="preserve">(QRIS) </w:t>
      </w:r>
      <w:r>
        <w:rPr>
          <w:noProof/>
        </w:rPr>
        <w:t>process</w:t>
      </w:r>
    </w:p>
    <w:p w14:paraId="6E53017A" w14:textId="71132C70" w:rsidR="00D74FB9" w:rsidRDefault="00D74FB9" w:rsidP="00523BB2">
      <w:pPr>
        <w:pStyle w:val="ListParagraph"/>
        <w:numPr>
          <w:ilvl w:val="1"/>
          <w:numId w:val="15"/>
        </w:numPr>
        <w:spacing w:after="0" w:line="240" w:lineRule="auto"/>
        <w:rPr>
          <w:noProof/>
        </w:rPr>
      </w:pPr>
      <w:r>
        <w:rPr>
          <w:noProof/>
        </w:rPr>
        <w:t>Build into applications</w:t>
      </w:r>
    </w:p>
    <w:p w14:paraId="079CB1B6" w14:textId="77777777" w:rsidR="00197E4C" w:rsidRDefault="00197E4C" w:rsidP="00197E4C">
      <w:pPr>
        <w:pStyle w:val="ListParagraph"/>
        <w:spacing w:after="0" w:line="240" w:lineRule="auto"/>
        <w:ind w:left="1080"/>
        <w:rPr>
          <w:noProof/>
        </w:rPr>
      </w:pPr>
    </w:p>
    <w:p w14:paraId="01A3E61C" w14:textId="015AFFCD" w:rsidR="000928A2" w:rsidRPr="000928A2" w:rsidRDefault="00197E4C" w:rsidP="000928A2">
      <w:pPr>
        <w:pStyle w:val="NormalWeb"/>
        <w:spacing w:before="200" w:beforeAutospacing="0" w:after="0" w:afterAutospacing="0"/>
        <w:rPr>
          <w:rFonts w:asciiTheme="minorHAnsi" w:eastAsiaTheme="minorHAnsi" w:hAnsiTheme="minorHAnsi" w:cstheme="minorBidi"/>
          <w:noProof/>
          <w:sz w:val="22"/>
          <w:szCs w:val="22"/>
        </w:rPr>
      </w:pPr>
      <w:r>
        <w:rPr>
          <w:noProof/>
        </w:rPr>
        <w:t xml:space="preserve">DISCUSSION: </w:t>
      </w:r>
      <w:r w:rsidR="000928A2" w:rsidRPr="000928A2">
        <w:rPr>
          <w:rFonts w:asciiTheme="minorHAnsi" w:eastAsiaTheme="minorHAnsi" w:hAnsiTheme="minorHAnsi" w:cstheme="minorBidi"/>
          <w:noProof/>
          <w:sz w:val="22"/>
          <w:szCs w:val="22"/>
        </w:rPr>
        <w:t>How can Vermont construct a QRIS system that advances equity for each and every child and family?</w:t>
      </w:r>
    </w:p>
    <w:p w14:paraId="7D8C1197" w14:textId="4B7828CB" w:rsidR="00246310" w:rsidRDefault="00246310" w:rsidP="000928A2">
      <w:pPr>
        <w:spacing w:after="0" w:line="240" w:lineRule="auto"/>
        <w:rPr>
          <w:noProof/>
        </w:rPr>
      </w:pPr>
      <w:bookmarkStart w:id="4" w:name="_GoBack"/>
      <w:bookmarkEnd w:id="4"/>
    </w:p>
    <w:p w14:paraId="783A0395" w14:textId="5760EFD5" w:rsidR="009E5D64" w:rsidRPr="003D2C18" w:rsidRDefault="00834306" w:rsidP="00AF3ADD">
      <w:pPr>
        <w:spacing w:after="0" w:line="240" w:lineRule="auto"/>
        <w:rPr>
          <w:noProof/>
        </w:rPr>
      </w:pPr>
      <w:r>
        <w:rPr>
          <w:noProof/>
        </w:rPr>
        <w:lastRenderedPageBreak/>
        <w:drawing>
          <wp:inline distT="0" distB="0" distL="0" distR="0" wp14:anchorId="005E5992" wp14:editId="3E9EE9E4">
            <wp:extent cx="6172200" cy="809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72200" cy="8096250"/>
                    </a:xfrm>
                    <a:prstGeom prst="rect">
                      <a:avLst/>
                    </a:prstGeom>
                  </pic:spPr>
                </pic:pic>
              </a:graphicData>
            </a:graphic>
          </wp:inline>
        </w:drawing>
      </w:r>
    </w:p>
    <w:p w14:paraId="7E30106C" w14:textId="17303C03" w:rsidR="000610ED" w:rsidRDefault="00ED6662" w:rsidP="00796C02">
      <w:pPr>
        <w:spacing w:after="0" w:line="240" w:lineRule="auto"/>
        <w:jc w:val="center"/>
        <w:rPr>
          <w:rFonts w:ascii="Calibri" w:eastAsia="MS Mincho" w:hAnsi="Calibri" w:cs="Times New Roman"/>
          <w:b/>
          <w:color w:val="538135" w:themeColor="accent6" w:themeShade="BF"/>
          <w:sz w:val="24"/>
          <w:szCs w:val="26"/>
        </w:rPr>
      </w:pPr>
      <w:r>
        <w:rPr>
          <w:rFonts w:ascii="Calibri" w:eastAsia="MS Mincho" w:hAnsi="Calibri" w:cs="Times New Roman"/>
          <w:b/>
          <w:color w:val="538135" w:themeColor="accent6" w:themeShade="BF"/>
          <w:sz w:val="24"/>
          <w:szCs w:val="26"/>
        </w:rPr>
        <w:br w:type="column"/>
      </w:r>
      <w:r w:rsidR="000610ED">
        <w:rPr>
          <w:noProof/>
        </w:rPr>
        <w:lastRenderedPageBreak/>
        <w:drawing>
          <wp:inline distT="0" distB="0" distL="0" distR="0" wp14:anchorId="5A098248" wp14:editId="307AF138">
            <wp:extent cx="6492240" cy="8275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92240" cy="8275320"/>
                    </a:xfrm>
                    <a:prstGeom prst="rect">
                      <a:avLst/>
                    </a:prstGeom>
                  </pic:spPr>
                </pic:pic>
              </a:graphicData>
            </a:graphic>
          </wp:inline>
        </w:drawing>
      </w:r>
    </w:p>
    <w:p w14:paraId="3CC187EE" w14:textId="03288EA9" w:rsidR="001F443A" w:rsidRDefault="001F443A" w:rsidP="001F443A">
      <w:pPr>
        <w:spacing w:after="0" w:line="240" w:lineRule="auto"/>
        <w:rPr>
          <w:rFonts w:ascii="Calibri" w:eastAsia="Calibri" w:hAnsi="Calibri" w:cs="Times New Roman"/>
          <w:b/>
          <w:sz w:val="20"/>
        </w:rPr>
      </w:pPr>
      <w:r>
        <w:rPr>
          <w:rFonts w:ascii="Calibri" w:eastAsia="Calibri" w:hAnsi="Calibri" w:cs="Times New Roman"/>
          <w:b/>
          <w:sz w:val="24"/>
        </w:rPr>
        <w:t>Center for Equity &amp; Excellence Community-Based Equity Audit</w:t>
      </w:r>
      <w:r w:rsidR="00E83BE9">
        <w:rPr>
          <w:rFonts w:ascii="Calibri" w:eastAsia="Calibri" w:hAnsi="Calibri" w:cs="Times New Roman"/>
          <w:b/>
          <w:sz w:val="24"/>
        </w:rPr>
        <w:t xml:space="preserve"> </w:t>
      </w:r>
      <w:r w:rsidR="00444666">
        <w:rPr>
          <w:rFonts w:ascii="Calibri" w:eastAsia="Calibri" w:hAnsi="Calibri" w:cs="Times New Roman"/>
          <w:b/>
          <w:sz w:val="24"/>
        </w:rPr>
        <w:t xml:space="preserve"> </w:t>
      </w:r>
      <w:hyperlink r:id="rId27" w:history="1">
        <w:r w:rsidR="009F01AC" w:rsidRPr="009F01AC">
          <w:rPr>
            <w:rStyle w:val="Hyperlink"/>
            <w:rFonts w:eastAsia="Times New Roman" w:cs="Times New Roman"/>
            <w:b/>
            <w:iCs/>
            <w:sz w:val="20"/>
            <w:szCs w:val="24"/>
            <w:u w:val="none"/>
          </w:rPr>
          <w:t>http://ireeinc.com/file_download/f9e45cdd-8b0e-414b-bae0-8b1f85b54161</w:t>
        </w:r>
      </w:hyperlink>
      <w:r w:rsidR="009F01AC" w:rsidRPr="009F01AC">
        <w:rPr>
          <w:rFonts w:eastAsia="Times New Roman" w:cs="Times New Roman"/>
          <w:b/>
          <w:iCs/>
          <w:sz w:val="20"/>
          <w:szCs w:val="24"/>
        </w:rPr>
        <w:t xml:space="preserve"> </w:t>
      </w:r>
    </w:p>
    <w:sectPr w:rsidR="001F443A" w:rsidSect="00F9011B">
      <w:footerReference w:type="default" r:id="rId2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38EF5" w14:textId="77777777" w:rsidR="00A21ECC" w:rsidRDefault="00A21ECC" w:rsidP="008949A1">
      <w:pPr>
        <w:spacing w:after="0" w:line="240" w:lineRule="auto"/>
      </w:pPr>
      <w:r>
        <w:separator/>
      </w:r>
    </w:p>
  </w:endnote>
  <w:endnote w:type="continuationSeparator" w:id="0">
    <w:p w14:paraId="43BC9AA6" w14:textId="77777777" w:rsidR="00A21ECC" w:rsidRDefault="00A21ECC" w:rsidP="008949A1">
      <w:pPr>
        <w:spacing w:after="0" w:line="240" w:lineRule="auto"/>
      </w:pPr>
      <w:r>
        <w:continuationSeparator/>
      </w:r>
    </w:p>
  </w:endnote>
  <w:endnote w:type="continuationNotice" w:id="1">
    <w:p w14:paraId="64AB334B" w14:textId="77777777" w:rsidR="00A21ECC" w:rsidRDefault="00A21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30671"/>
      <w:docPartObj>
        <w:docPartGallery w:val="Page Numbers (Bottom of Page)"/>
        <w:docPartUnique/>
      </w:docPartObj>
    </w:sdtPr>
    <w:sdtEndPr>
      <w:rPr>
        <w:noProof/>
      </w:rPr>
    </w:sdtEndPr>
    <w:sdtContent>
      <w:p w14:paraId="5F173903" w14:textId="402A2014" w:rsidR="008949A1" w:rsidRDefault="008949A1">
        <w:pPr>
          <w:pStyle w:val="Footer"/>
          <w:jc w:val="right"/>
        </w:pPr>
        <w:r>
          <w:fldChar w:fldCharType="begin"/>
        </w:r>
        <w:r>
          <w:instrText xml:space="preserve"> PAGE   \* MERGEFORMAT </w:instrText>
        </w:r>
        <w:r>
          <w:fldChar w:fldCharType="separate"/>
        </w:r>
        <w:r w:rsidR="005758D2">
          <w:rPr>
            <w:noProof/>
          </w:rPr>
          <w:t>2</w:t>
        </w:r>
        <w:r>
          <w:rPr>
            <w:noProof/>
          </w:rPr>
          <w:fldChar w:fldCharType="end"/>
        </w:r>
      </w:p>
    </w:sdtContent>
  </w:sdt>
  <w:p w14:paraId="72880A5C" w14:textId="77777777" w:rsidR="008949A1" w:rsidRDefault="0089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A203" w14:textId="77777777" w:rsidR="00A21ECC" w:rsidRDefault="00A21ECC" w:rsidP="008949A1">
      <w:pPr>
        <w:spacing w:after="0" w:line="240" w:lineRule="auto"/>
      </w:pPr>
      <w:r>
        <w:separator/>
      </w:r>
    </w:p>
  </w:footnote>
  <w:footnote w:type="continuationSeparator" w:id="0">
    <w:p w14:paraId="1C636D5E" w14:textId="77777777" w:rsidR="00A21ECC" w:rsidRDefault="00A21ECC" w:rsidP="008949A1">
      <w:pPr>
        <w:spacing w:after="0" w:line="240" w:lineRule="auto"/>
      </w:pPr>
      <w:r>
        <w:continuationSeparator/>
      </w:r>
    </w:p>
  </w:footnote>
  <w:footnote w:type="continuationNotice" w:id="1">
    <w:p w14:paraId="7621F90C" w14:textId="77777777" w:rsidR="00A21ECC" w:rsidRDefault="00A21ECC">
      <w:pPr>
        <w:spacing w:after="0" w:line="240" w:lineRule="auto"/>
      </w:pPr>
    </w:p>
  </w:footnote>
  <w:footnote w:id="2">
    <w:p w14:paraId="3155EFA0" w14:textId="77777777" w:rsidR="00DE3AB9" w:rsidRPr="00AA77A4" w:rsidRDefault="00DE3AB9" w:rsidP="00DE3AB9">
      <w:pPr>
        <w:pStyle w:val="FootnoteText"/>
        <w:rPr>
          <w:b/>
        </w:rPr>
      </w:pPr>
      <w:r>
        <w:rPr>
          <w:rStyle w:val="FootnoteReference"/>
        </w:rPr>
        <w:footnoteRef/>
      </w:r>
      <w:r>
        <w:t xml:space="preserve"> Handouts and PowerPoints for this session are at </w:t>
      </w:r>
      <w:hyperlink r:id="rId1" w:history="1">
        <w:r w:rsidRPr="00B021F1">
          <w:rPr>
            <w:rStyle w:val="Hyperlink"/>
            <w:b/>
            <w:u w:val="none"/>
          </w:rPr>
          <w:t>https://fpg.unc.edu/presentations/all-each-and-every-1</w:t>
        </w:r>
      </w:hyperlink>
      <w:r>
        <w:t xml:space="preserve"> </w:t>
      </w:r>
      <w:r w:rsidRPr="00AA77A4">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5C5"/>
    <w:multiLevelType w:val="hybridMultilevel"/>
    <w:tmpl w:val="057E2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E7BD4"/>
    <w:multiLevelType w:val="hybridMultilevel"/>
    <w:tmpl w:val="72B62D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E12AD"/>
    <w:multiLevelType w:val="hybridMultilevel"/>
    <w:tmpl w:val="F97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436B"/>
    <w:multiLevelType w:val="hybridMultilevel"/>
    <w:tmpl w:val="B79A0D96"/>
    <w:lvl w:ilvl="0" w:tplc="CA1AFFE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AA3E0B"/>
    <w:multiLevelType w:val="hybridMultilevel"/>
    <w:tmpl w:val="F4587A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6F68D0"/>
    <w:multiLevelType w:val="hybridMultilevel"/>
    <w:tmpl w:val="9D5A23BA"/>
    <w:lvl w:ilvl="0" w:tplc="92484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927F8"/>
    <w:multiLevelType w:val="multilevel"/>
    <w:tmpl w:val="2CAC2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94D8D"/>
    <w:multiLevelType w:val="hybridMultilevel"/>
    <w:tmpl w:val="42426FB4"/>
    <w:lvl w:ilvl="0" w:tplc="B19A1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8139F"/>
    <w:multiLevelType w:val="hybridMultilevel"/>
    <w:tmpl w:val="FCFE3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FA7A8D"/>
    <w:multiLevelType w:val="hybridMultilevel"/>
    <w:tmpl w:val="AA840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E0883"/>
    <w:multiLevelType w:val="hybridMultilevel"/>
    <w:tmpl w:val="7778D4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B773AF"/>
    <w:multiLevelType w:val="hybridMultilevel"/>
    <w:tmpl w:val="09A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52AB7"/>
    <w:multiLevelType w:val="hybridMultilevel"/>
    <w:tmpl w:val="2F38DA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020AA9"/>
    <w:multiLevelType w:val="hybridMultilevel"/>
    <w:tmpl w:val="4E684B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E54395"/>
    <w:multiLevelType w:val="hybridMultilevel"/>
    <w:tmpl w:val="4F1AE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1"/>
  </w:num>
  <w:num w:numId="4">
    <w:abstractNumId w:val="7"/>
  </w:num>
  <w:num w:numId="5">
    <w:abstractNumId w:val="13"/>
  </w:num>
  <w:num w:numId="6">
    <w:abstractNumId w:val="10"/>
  </w:num>
  <w:num w:numId="7">
    <w:abstractNumId w:val="14"/>
  </w:num>
  <w:num w:numId="8">
    <w:abstractNumId w:val="1"/>
  </w:num>
  <w:num w:numId="9">
    <w:abstractNumId w:val="3"/>
  </w:num>
  <w:num w:numId="10">
    <w:abstractNumId w:val="5"/>
  </w:num>
  <w:num w:numId="11">
    <w:abstractNumId w:val="6"/>
  </w:num>
  <w:num w:numId="12">
    <w:abstractNumId w:val="2"/>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1B"/>
    <w:rsid w:val="00037D40"/>
    <w:rsid w:val="00052C83"/>
    <w:rsid w:val="000610ED"/>
    <w:rsid w:val="00061358"/>
    <w:rsid w:val="0007211E"/>
    <w:rsid w:val="00081CDB"/>
    <w:rsid w:val="000928A2"/>
    <w:rsid w:val="000C5EB4"/>
    <w:rsid w:val="000C6D1D"/>
    <w:rsid w:val="000E72A6"/>
    <w:rsid w:val="001056A4"/>
    <w:rsid w:val="0012129E"/>
    <w:rsid w:val="00164CD0"/>
    <w:rsid w:val="0019132A"/>
    <w:rsid w:val="001938C5"/>
    <w:rsid w:val="0019486E"/>
    <w:rsid w:val="00197E4C"/>
    <w:rsid w:val="001A7183"/>
    <w:rsid w:val="001B1BB3"/>
    <w:rsid w:val="001C400A"/>
    <w:rsid w:val="001F443A"/>
    <w:rsid w:val="00205B2D"/>
    <w:rsid w:val="0020602A"/>
    <w:rsid w:val="00230CAB"/>
    <w:rsid w:val="00243927"/>
    <w:rsid w:val="0024401F"/>
    <w:rsid w:val="00246310"/>
    <w:rsid w:val="00274643"/>
    <w:rsid w:val="00304FE3"/>
    <w:rsid w:val="00321A79"/>
    <w:rsid w:val="00391136"/>
    <w:rsid w:val="00391CB9"/>
    <w:rsid w:val="003D2C18"/>
    <w:rsid w:val="00410491"/>
    <w:rsid w:val="00444666"/>
    <w:rsid w:val="004A111A"/>
    <w:rsid w:val="004A595C"/>
    <w:rsid w:val="0052152A"/>
    <w:rsid w:val="00523BB2"/>
    <w:rsid w:val="00531E28"/>
    <w:rsid w:val="005758D2"/>
    <w:rsid w:val="005B61DC"/>
    <w:rsid w:val="005F29FC"/>
    <w:rsid w:val="00627CE2"/>
    <w:rsid w:val="00652A86"/>
    <w:rsid w:val="006746CB"/>
    <w:rsid w:val="006F5587"/>
    <w:rsid w:val="006F7A15"/>
    <w:rsid w:val="007049A3"/>
    <w:rsid w:val="00706E7C"/>
    <w:rsid w:val="007256A1"/>
    <w:rsid w:val="00781833"/>
    <w:rsid w:val="00796C02"/>
    <w:rsid w:val="007E2136"/>
    <w:rsid w:val="00806882"/>
    <w:rsid w:val="00834306"/>
    <w:rsid w:val="008949A1"/>
    <w:rsid w:val="008C32A2"/>
    <w:rsid w:val="008C7268"/>
    <w:rsid w:val="008D4B1D"/>
    <w:rsid w:val="008D78E7"/>
    <w:rsid w:val="008F3E78"/>
    <w:rsid w:val="00920C2A"/>
    <w:rsid w:val="00942359"/>
    <w:rsid w:val="009465B5"/>
    <w:rsid w:val="009E5D64"/>
    <w:rsid w:val="009F01AC"/>
    <w:rsid w:val="00A21ECC"/>
    <w:rsid w:val="00AC2C17"/>
    <w:rsid w:val="00AF3ADD"/>
    <w:rsid w:val="00B01A93"/>
    <w:rsid w:val="00B01BFF"/>
    <w:rsid w:val="00B06885"/>
    <w:rsid w:val="00B4234E"/>
    <w:rsid w:val="00C0533A"/>
    <w:rsid w:val="00C229F2"/>
    <w:rsid w:val="00C31ED4"/>
    <w:rsid w:val="00C74DF6"/>
    <w:rsid w:val="00CD3E14"/>
    <w:rsid w:val="00CE68E7"/>
    <w:rsid w:val="00D04DBA"/>
    <w:rsid w:val="00D556B6"/>
    <w:rsid w:val="00D74FB9"/>
    <w:rsid w:val="00D761F7"/>
    <w:rsid w:val="00D86D0B"/>
    <w:rsid w:val="00D9078C"/>
    <w:rsid w:val="00DE3AB9"/>
    <w:rsid w:val="00E83BE9"/>
    <w:rsid w:val="00E954D7"/>
    <w:rsid w:val="00ED6662"/>
    <w:rsid w:val="00F03F2B"/>
    <w:rsid w:val="00F0787C"/>
    <w:rsid w:val="00F326BE"/>
    <w:rsid w:val="00F9011B"/>
    <w:rsid w:val="00FD2A7F"/>
    <w:rsid w:val="00FE716F"/>
    <w:rsid w:val="00FF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1CE3"/>
  <w15:chartTrackingRefBased/>
  <w15:docId w15:val="{17D79C4D-D749-44BD-B2AC-5D168866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A4"/>
    <w:pPr>
      <w:ind w:left="720"/>
      <w:contextualSpacing/>
    </w:pPr>
  </w:style>
  <w:style w:type="character" w:styleId="Hyperlink">
    <w:name w:val="Hyperlink"/>
    <w:basedOn w:val="DefaultParagraphFont"/>
    <w:uiPriority w:val="99"/>
    <w:unhideWhenUsed/>
    <w:rsid w:val="007049A3"/>
    <w:rPr>
      <w:color w:val="0563C1" w:themeColor="hyperlink"/>
      <w:u w:val="single"/>
    </w:rPr>
  </w:style>
  <w:style w:type="table" w:styleId="TableGrid">
    <w:name w:val="Table Grid"/>
    <w:basedOn w:val="TableNormal"/>
    <w:uiPriority w:val="39"/>
    <w:rsid w:val="0020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4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9A1"/>
    <w:rPr>
      <w:sz w:val="20"/>
      <w:szCs w:val="20"/>
    </w:rPr>
  </w:style>
  <w:style w:type="character" w:styleId="FootnoteReference">
    <w:name w:val="footnote reference"/>
    <w:basedOn w:val="DefaultParagraphFont"/>
    <w:uiPriority w:val="99"/>
    <w:semiHidden/>
    <w:unhideWhenUsed/>
    <w:rsid w:val="008949A1"/>
    <w:rPr>
      <w:vertAlign w:val="superscript"/>
    </w:rPr>
  </w:style>
  <w:style w:type="paragraph" w:styleId="Header">
    <w:name w:val="header"/>
    <w:basedOn w:val="Normal"/>
    <w:link w:val="HeaderChar"/>
    <w:uiPriority w:val="99"/>
    <w:unhideWhenUsed/>
    <w:rsid w:val="0089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9A1"/>
  </w:style>
  <w:style w:type="paragraph" w:styleId="Footer">
    <w:name w:val="footer"/>
    <w:basedOn w:val="Normal"/>
    <w:link w:val="FooterChar"/>
    <w:uiPriority w:val="99"/>
    <w:unhideWhenUsed/>
    <w:rsid w:val="0089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9A1"/>
  </w:style>
  <w:style w:type="paragraph" w:styleId="BalloonText">
    <w:name w:val="Balloon Text"/>
    <w:basedOn w:val="Normal"/>
    <w:link w:val="BalloonTextChar"/>
    <w:uiPriority w:val="99"/>
    <w:semiHidden/>
    <w:unhideWhenUsed/>
    <w:rsid w:val="0057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8D2"/>
    <w:rPr>
      <w:rFonts w:ascii="Segoe UI" w:hAnsi="Segoe UI" w:cs="Segoe UI"/>
      <w:sz w:val="18"/>
      <w:szCs w:val="18"/>
    </w:rPr>
  </w:style>
  <w:style w:type="character" w:styleId="FollowedHyperlink">
    <w:name w:val="FollowedHyperlink"/>
    <w:basedOn w:val="DefaultParagraphFont"/>
    <w:uiPriority w:val="99"/>
    <w:semiHidden/>
    <w:unhideWhenUsed/>
    <w:rsid w:val="006746CB"/>
    <w:rPr>
      <w:color w:val="954F72" w:themeColor="followedHyperlink"/>
      <w:u w:val="single"/>
    </w:rPr>
  </w:style>
  <w:style w:type="paragraph" w:customStyle="1" w:styleId="Default">
    <w:name w:val="Default"/>
    <w:rsid w:val="009465B5"/>
    <w:pPr>
      <w:autoSpaceDE w:val="0"/>
      <w:autoSpaceDN w:val="0"/>
      <w:adjustRightInd w:val="0"/>
      <w:spacing w:after="0" w:line="240" w:lineRule="auto"/>
    </w:pPr>
    <w:rPr>
      <w:rFonts w:ascii="Palatino Linotype" w:hAnsi="Palatino Linotype" w:cs="Palatino Linotype"/>
      <w:color w:val="000000"/>
      <w:sz w:val="24"/>
      <w:szCs w:val="24"/>
    </w:rPr>
  </w:style>
  <w:style w:type="character" w:styleId="UnresolvedMention">
    <w:name w:val="Unresolved Mention"/>
    <w:basedOn w:val="DefaultParagraphFont"/>
    <w:uiPriority w:val="99"/>
    <w:semiHidden/>
    <w:unhideWhenUsed/>
    <w:rsid w:val="00D9078C"/>
    <w:rPr>
      <w:color w:val="605E5C"/>
      <w:shd w:val="clear" w:color="auto" w:fill="E1DFDD"/>
    </w:rPr>
  </w:style>
  <w:style w:type="paragraph" w:styleId="NormalWeb">
    <w:name w:val="Normal (Web)"/>
    <w:basedOn w:val="Normal"/>
    <w:uiPriority w:val="99"/>
    <w:semiHidden/>
    <w:unhideWhenUsed/>
    <w:rsid w:val="00092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olger@vermont.gov" TargetMode="External"/><Relationship Id="rId13" Type="http://schemas.openxmlformats.org/officeDocument/2006/relationships/hyperlink" Target="https://www.naeyc.org/our-work/initiatives/profession/decision-cycles/power-profession-decision-cycles-3456" TargetMode="External"/><Relationship Id="rId18" Type="http://schemas.openxmlformats.org/officeDocument/2006/relationships/hyperlink" Target="https://www.bankstreet.edu/our-work-with-schools-and-communities/bank-street-education-center/center-on-culture-race-equity/ccre-approach/"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tinyurl.com/y4wovfwv" TargetMode="External"/><Relationship Id="rId7" Type="http://schemas.openxmlformats.org/officeDocument/2006/relationships/endnotes" Target="endnotes.xml"/><Relationship Id="rId12" Type="http://schemas.openxmlformats.org/officeDocument/2006/relationships/hyperlink" Target="https://www.naeyc.org/our-work/initiatives/profession" TargetMode="External"/><Relationship Id="rId17" Type="http://schemas.openxmlformats.org/officeDocument/2006/relationships/hyperlink" Target="https://fpg.unc.edu/presentations/vt-guiding-principles"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1y8sb8igg2f8e.cloudfront.net/documents/Culturally_Responsive_Teaching_2019-03-28_130012.pdf" TargetMode="External"/><Relationship Id="rId20" Type="http://schemas.openxmlformats.org/officeDocument/2006/relationships/hyperlink" Target="http://npdci.fpg.unc.edu/resources/articles/Early_Childhood_Inclu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cademies.org/hmd/Reports/2015/Birth-To-Eight.aspx" TargetMode="External"/><Relationship Id="rId24" Type="http://schemas.openxmlformats.org/officeDocument/2006/relationships/hyperlink" Target="https://fpg.unc.edu/presentations/vermont-resource-collections" TargetMode="External"/><Relationship Id="rId5" Type="http://schemas.openxmlformats.org/officeDocument/2006/relationships/webSettings" Target="webSettings.xml"/><Relationship Id="rId15" Type="http://schemas.openxmlformats.org/officeDocument/2006/relationships/hyperlink" Target="https://www.naeyc.org/resources/position-statements/equity-draft" TargetMode="External"/><Relationship Id="rId23" Type="http://schemas.openxmlformats.org/officeDocument/2006/relationships/hyperlink" Target="https://fpg.unc.edu/presentations/right-stuff" TargetMode="External"/><Relationship Id="rId28" Type="http://schemas.openxmlformats.org/officeDocument/2006/relationships/footer" Target="footer1.xml"/><Relationship Id="rId10" Type="http://schemas.openxmlformats.org/officeDocument/2006/relationships/hyperlink" Target="mailto:melissa.riegel-garrett@vermont.gov" TargetMode="External"/><Relationship Id="rId19" Type="http://schemas.openxmlformats.org/officeDocument/2006/relationships/hyperlink" Target="http://buildinitiative.org/Portals/0/Uploads/Documents/Work/LearningCommunity/2017BUILDNationalMeeting/EquityActionFramework.pdf" TargetMode="External"/><Relationship Id="rId4" Type="http://schemas.openxmlformats.org/officeDocument/2006/relationships/settings" Target="settings.xml"/><Relationship Id="rId9" Type="http://schemas.openxmlformats.org/officeDocument/2006/relationships/hyperlink" Target="mailto:camille.catlett@unc.edu" TargetMode="External"/><Relationship Id="rId14" Type="http://schemas.openxmlformats.org/officeDocument/2006/relationships/hyperlink" Target="https://www.naeyc.org/resources/position-statements/draft-professional-standards-competencies" TargetMode="External"/><Relationship Id="rId22" Type="http://schemas.openxmlformats.org/officeDocument/2006/relationships/hyperlink" Target="http://ireeinc.com/file_download/f9e45cdd-8b0e-414b-bae0-8b1f85b54161" TargetMode="External"/><Relationship Id="rId27" Type="http://schemas.openxmlformats.org/officeDocument/2006/relationships/hyperlink" Target="http://ireeinc.com/file_download/f9e45cdd-8b0e-414b-bae0-8b1f85b54161"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pg.unc.edu/presentations/all-each-and-eve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ED3C-35B8-423A-BD2B-E1903FD9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54</cp:revision>
  <cp:lastPrinted>2019-01-08T19:42:00Z</cp:lastPrinted>
  <dcterms:created xsi:type="dcterms:W3CDTF">2019-05-30T12:01:00Z</dcterms:created>
  <dcterms:modified xsi:type="dcterms:W3CDTF">2019-06-21T14:41:00Z</dcterms:modified>
</cp:coreProperties>
</file>