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B87FE" w14:textId="68E97A50" w:rsidR="001D4482" w:rsidRDefault="001B2BD6" w:rsidP="001D4482">
      <w:pPr>
        <w:spacing w:after="0"/>
        <w:jc w:val="center"/>
        <w:rPr>
          <w:rFonts w:ascii="Calibri" w:eastAsia="MS Mincho" w:hAnsi="Calibri" w:cs="Times New Roman"/>
          <w:b/>
          <w:color w:val="538135" w:themeColor="accent6" w:themeShade="BF"/>
          <w:sz w:val="24"/>
          <w:szCs w:val="26"/>
        </w:rPr>
      </w:pPr>
      <w:bookmarkStart w:id="0" w:name="_GoBack"/>
      <w:bookmarkEnd w:id="0"/>
      <w:r w:rsidRPr="001B2BD6">
        <w:rPr>
          <w:rFonts w:ascii="Calibri" w:eastAsia="MS Mincho" w:hAnsi="Calibri" w:cs="Times New Roman"/>
          <w:b/>
          <w:color w:val="538135" w:themeColor="accent6" w:themeShade="BF"/>
          <w:sz w:val="24"/>
          <w:szCs w:val="26"/>
        </w:rPr>
        <w:t>SUPPORTING</w:t>
      </w:r>
      <w:r w:rsidR="001D4482" w:rsidRPr="001B2BD6">
        <w:rPr>
          <w:rFonts w:ascii="Calibri" w:eastAsia="MS Mincho" w:hAnsi="Calibri" w:cs="Times New Roman"/>
          <w:b/>
          <w:color w:val="538135" w:themeColor="accent6" w:themeShade="BF"/>
          <w:sz w:val="24"/>
          <w:szCs w:val="26"/>
        </w:rPr>
        <w:t xml:space="preserve"> EACH AND EVERY </w:t>
      </w:r>
      <w:r w:rsidRPr="001B2BD6">
        <w:rPr>
          <w:rFonts w:ascii="Calibri" w:eastAsia="MS Mincho" w:hAnsi="Calibri" w:cs="Times New Roman"/>
          <w:b/>
          <w:color w:val="538135" w:themeColor="accent6" w:themeShade="BF"/>
          <w:sz w:val="24"/>
          <w:szCs w:val="26"/>
        </w:rPr>
        <w:t xml:space="preserve">YOUNG </w:t>
      </w:r>
      <w:r w:rsidR="001D4482" w:rsidRPr="001B2BD6">
        <w:rPr>
          <w:rFonts w:ascii="Calibri" w:eastAsia="MS Mincho" w:hAnsi="Calibri" w:cs="Times New Roman"/>
          <w:b/>
          <w:color w:val="538135" w:themeColor="accent6" w:themeShade="BF"/>
          <w:sz w:val="24"/>
          <w:szCs w:val="26"/>
        </w:rPr>
        <w:t>CHILD AND FAMILY</w:t>
      </w:r>
      <w:r w:rsidRPr="001B2BD6">
        <w:rPr>
          <w:rFonts w:ascii="Calibri" w:eastAsia="MS Mincho" w:hAnsi="Calibri" w:cs="Times New Roman"/>
          <w:b/>
          <w:color w:val="538135" w:themeColor="accent6" w:themeShade="BF"/>
          <w:sz w:val="24"/>
          <w:szCs w:val="26"/>
        </w:rPr>
        <w:t>’S FULL AND EQUITABLE PARTICIPATION</w:t>
      </w:r>
      <w:r w:rsidR="001D4482" w:rsidRPr="001B2BD6">
        <w:rPr>
          <w:rFonts w:ascii="Calibri" w:eastAsia="MS Mincho" w:hAnsi="Calibri" w:cs="Times New Roman"/>
          <w:b/>
          <w:color w:val="538135" w:themeColor="accent6" w:themeShade="BF"/>
          <w:sz w:val="24"/>
          <w:szCs w:val="26"/>
        </w:rPr>
        <w:t xml:space="preserve"> </w:t>
      </w:r>
    </w:p>
    <w:p w14:paraId="60062B4C" w14:textId="29C1D170" w:rsidR="001B2BD6" w:rsidRPr="00526079" w:rsidRDefault="001B2BD6" w:rsidP="001D4482">
      <w:pPr>
        <w:spacing w:after="0"/>
        <w:jc w:val="center"/>
        <w:rPr>
          <w:rFonts w:ascii="Arial Black" w:eastAsia="MS Mincho" w:hAnsi="Arial Black" w:cs="Times New Roman"/>
          <w:b/>
          <w:color w:val="538135" w:themeColor="accent6" w:themeShade="BF"/>
          <w:sz w:val="20"/>
          <w:szCs w:val="26"/>
        </w:rPr>
      </w:pPr>
      <w:r w:rsidRPr="00526079">
        <w:rPr>
          <w:rFonts w:ascii="Arial Black" w:eastAsia="MS Mincho" w:hAnsi="Arial Black" w:cs="Times New Roman"/>
          <w:b/>
          <w:color w:val="538135" w:themeColor="accent6" w:themeShade="BF"/>
          <w:sz w:val="20"/>
          <w:szCs w:val="26"/>
        </w:rPr>
        <w:t>Vermont Guiding Principles</w:t>
      </w:r>
    </w:p>
    <w:p w14:paraId="4E0B87FF" w14:textId="77777777" w:rsidR="001D4482" w:rsidRPr="001D4482" w:rsidRDefault="001D4482" w:rsidP="001D4482">
      <w:pPr>
        <w:spacing w:after="0"/>
        <w:jc w:val="center"/>
        <w:rPr>
          <w:rFonts w:ascii="Calibri" w:eastAsia="MS Mincho" w:hAnsi="Calibri" w:cs="Times New Roman"/>
          <w:b/>
          <w:sz w:val="12"/>
          <w:szCs w:val="24"/>
        </w:rPr>
      </w:pPr>
    </w:p>
    <w:p w14:paraId="4E0B8800" w14:textId="77777777" w:rsidR="001D4482" w:rsidRPr="00526079" w:rsidRDefault="001D4482" w:rsidP="001D4482">
      <w:pPr>
        <w:spacing w:after="0"/>
        <w:jc w:val="center"/>
        <w:rPr>
          <w:i/>
          <w:sz w:val="24"/>
          <w:szCs w:val="26"/>
        </w:rPr>
      </w:pPr>
      <w:r w:rsidRPr="00526079">
        <w:rPr>
          <w:rFonts w:ascii="Calibri" w:eastAsia="MS Mincho" w:hAnsi="Calibri" w:cs="Times New Roman"/>
          <w:i/>
          <w:sz w:val="24"/>
          <w:szCs w:val="26"/>
        </w:rPr>
        <w:t>A Brief History</w:t>
      </w:r>
    </w:p>
    <w:p w14:paraId="4E0B8801" w14:textId="22C6B125" w:rsidR="001D4482" w:rsidRPr="00F96E75" w:rsidRDefault="001D4482" w:rsidP="00FC00B1">
      <w:pPr>
        <w:spacing w:after="0" w:line="240" w:lineRule="auto"/>
        <w:rPr>
          <w:sz w:val="24"/>
        </w:rPr>
      </w:pPr>
      <w:r w:rsidRPr="00F96E75">
        <w:rPr>
          <w:sz w:val="24"/>
        </w:rPr>
        <w:t xml:space="preserve">For </w:t>
      </w:r>
      <w:r w:rsidR="001B2BD6">
        <w:rPr>
          <w:sz w:val="24"/>
        </w:rPr>
        <w:t>two years</w:t>
      </w:r>
      <w:r w:rsidRPr="00F96E75">
        <w:rPr>
          <w:sz w:val="24"/>
        </w:rPr>
        <w:t xml:space="preserve">, a diverse group of </w:t>
      </w:r>
      <w:r w:rsidR="00181D6B" w:rsidRPr="00F96E75">
        <w:rPr>
          <w:sz w:val="24"/>
        </w:rPr>
        <w:t xml:space="preserve">over 30 </w:t>
      </w:r>
      <w:r w:rsidRPr="00F96E75">
        <w:rPr>
          <w:sz w:val="24"/>
        </w:rPr>
        <w:t xml:space="preserve">cross sector early childhood </w:t>
      </w:r>
      <w:r w:rsidR="001B2BD6">
        <w:rPr>
          <w:sz w:val="24"/>
        </w:rPr>
        <w:t xml:space="preserve">and early childhood special education/early intervention </w:t>
      </w:r>
      <w:r w:rsidR="00181D6B" w:rsidRPr="00F96E75">
        <w:rPr>
          <w:sz w:val="24"/>
        </w:rPr>
        <w:t xml:space="preserve">colleagues brought their agency, organization, family, foundation, faculty, </w:t>
      </w:r>
      <w:r w:rsidR="00F96E75" w:rsidRPr="00F96E75">
        <w:rPr>
          <w:sz w:val="24"/>
        </w:rPr>
        <w:t xml:space="preserve">administrator, specialist, and teacher perspectives together to support the development of a set of guiding principles. </w:t>
      </w:r>
      <w:r w:rsidR="001B2BD6">
        <w:rPr>
          <w:sz w:val="24"/>
        </w:rPr>
        <w:t>This document provides an overview of the rationale for the Vermont Guiding Principles, the vision for how the Vermont Guiding Principles mesh with other state and national requirements, values, and priorities, an overview of the steps in the statewide validation process</w:t>
      </w:r>
      <w:r w:rsidR="00526079">
        <w:rPr>
          <w:sz w:val="24"/>
        </w:rPr>
        <w:t>, and a connection to resources for supporting the understanding and use of the Vermont Guiding Principles</w:t>
      </w:r>
      <w:r w:rsidR="001B2BD6">
        <w:rPr>
          <w:sz w:val="24"/>
        </w:rPr>
        <w:t>.</w:t>
      </w:r>
      <w:r w:rsidR="00516360">
        <w:rPr>
          <w:sz w:val="24"/>
        </w:rPr>
        <w:t xml:space="preserve"> </w:t>
      </w:r>
    </w:p>
    <w:p w14:paraId="5F40DDC5" w14:textId="77777777" w:rsidR="00FC00B1" w:rsidRDefault="00FC00B1" w:rsidP="001D4482">
      <w:pPr>
        <w:spacing w:after="0" w:line="240" w:lineRule="auto"/>
        <w:rPr>
          <w:rFonts w:ascii="Calibri" w:eastAsia="Palatino Linotype" w:hAnsi="Calibri" w:cs="Times New Roman"/>
          <w:b/>
          <w:color w:val="538135" w:themeColor="accent6" w:themeShade="BF"/>
          <w:kern w:val="18"/>
          <w:sz w:val="26"/>
          <w:szCs w:val="26"/>
          <w:lang w:eastAsia="ja-JP"/>
        </w:rPr>
      </w:pPr>
    </w:p>
    <w:p w14:paraId="4E0B8802" w14:textId="0B9E9EDB" w:rsidR="001D4482" w:rsidRPr="00D73182" w:rsidRDefault="00F96E75" w:rsidP="001D4482">
      <w:pPr>
        <w:spacing w:after="0" w:line="240" w:lineRule="auto"/>
        <w:rPr>
          <w:rFonts w:ascii="Calibri" w:eastAsia="Palatino Linotype" w:hAnsi="Calibri" w:cs="Times New Roman"/>
          <w:b/>
          <w:color w:val="538135" w:themeColor="accent6" w:themeShade="BF"/>
          <w:kern w:val="18"/>
          <w:sz w:val="26"/>
          <w:szCs w:val="26"/>
          <w:lang w:eastAsia="ja-JP"/>
        </w:rPr>
      </w:pPr>
      <w:r w:rsidRPr="00D73182">
        <w:rPr>
          <w:rFonts w:ascii="Calibri" w:eastAsia="Palatino Linotype" w:hAnsi="Calibri" w:cs="Times New Roman"/>
          <w:b/>
          <w:color w:val="538135" w:themeColor="accent6" w:themeShade="BF"/>
          <w:kern w:val="18"/>
          <w:sz w:val="26"/>
          <w:szCs w:val="26"/>
          <w:lang w:eastAsia="ja-JP"/>
        </w:rPr>
        <w:t>Why does Vermont need a set of Guiding Principles?</w:t>
      </w:r>
    </w:p>
    <w:p w14:paraId="4E0B8803" w14:textId="166C19F5" w:rsidR="001D4482" w:rsidRPr="001D4482" w:rsidRDefault="00F96E75" w:rsidP="001D4482">
      <w:pPr>
        <w:spacing w:after="0" w:line="240" w:lineRule="auto"/>
        <w:rPr>
          <w:rFonts w:ascii="Calibri" w:eastAsia="Palatino Linotype" w:hAnsi="Calibri" w:cs="Times New Roman"/>
          <w:color w:val="000000"/>
          <w:kern w:val="18"/>
          <w:sz w:val="24"/>
          <w:szCs w:val="20"/>
          <w:lang w:eastAsia="ja-JP"/>
        </w:rPr>
      </w:pPr>
      <w:r w:rsidRPr="00F96E75">
        <w:rPr>
          <w:rFonts w:ascii="Calibri" w:eastAsia="Palatino Linotype" w:hAnsi="Calibri" w:cs="Times New Roman"/>
          <w:color w:val="000000"/>
          <w:kern w:val="18"/>
          <w:sz w:val="24"/>
          <w:szCs w:val="20"/>
          <w:lang w:eastAsia="ja-JP"/>
        </w:rPr>
        <w:t xml:space="preserve">The explicit </w:t>
      </w:r>
      <w:r w:rsidR="009273CF">
        <w:rPr>
          <w:rFonts w:ascii="Calibri" w:eastAsia="Palatino Linotype" w:hAnsi="Calibri" w:cs="Times New Roman"/>
          <w:color w:val="000000"/>
          <w:kern w:val="18"/>
          <w:sz w:val="24"/>
          <w:szCs w:val="20"/>
          <w:lang w:eastAsia="ja-JP"/>
        </w:rPr>
        <w:t>statements</w:t>
      </w:r>
      <w:r w:rsidRPr="00F96E75">
        <w:rPr>
          <w:rFonts w:ascii="Calibri" w:eastAsia="Palatino Linotype" w:hAnsi="Calibri" w:cs="Times New Roman"/>
          <w:color w:val="000000"/>
          <w:kern w:val="18"/>
          <w:sz w:val="24"/>
          <w:szCs w:val="20"/>
          <w:lang w:eastAsia="ja-JP"/>
        </w:rPr>
        <w:t xml:space="preserve"> of the </w:t>
      </w:r>
      <w:r w:rsidR="009273CF">
        <w:rPr>
          <w:rFonts w:ascii="Calibri" w:eastAsia="Palatino Linotype" w:hAnsi="Calibri" w:cs="Times New Roman"/>
          <w:color w:val="000000"/>
          <w:kern w:val="18"/>
          <w:sz w:val="24"/>
          <w:szCs w:val="20"/>
          <w:lang w:eastAsia="ja-JP"/>
        </w:rPr>
        <w:t xml:space="preserve">Vermont </w:t>
      </w:r>
      <w:r w:rsidR="001D4482" w:rsidRPr="001D4482">
        <w:rPr>
          <w:rFonts w:ascii="Calibri" w:eastAsia="Palatino Linotype" w:hAnsi="Calibri" w:cs="Times New Roman"/>
          <w:color w:val="000000"/>
          <w:kern w:val="18"/>
          <w:sz w:val="24"/>
          <w:szCs w:val="20"/>
          <w:lang w:eastAsia="ja-JP"/>
        </w:rPr>
        <w:t xml:space="preserve">Guiding Principles </w:t>
      </w:r>
      <w:r w:rsidR="009273CF">
        <w:rPr>
          <w:rFonts w:ascii="Calibri" w:eastAsia="Palatino Linotype" w:hAnsi="Calibri" w:cs="Times New Roman"/>
          <w:color w:val="000000"/>
          <w:kern w:val="18"/>
          <w:sz w:val="24"/>
          <w:szCs w:val="20"/>
          <w:lang w:eastAsia="ja-JP"/>
        </w:rPr>
        <w:t>should</w:t>
      </w:r>
      <w:r w:rsidRPr="00F96E75">
        <w:rPr>
          <w:rFonts w:ascii="Calibri" w:eastAsia="Palatino Linotype" w:hAnsi="Calibri" w:cs="Times New Roman"/>
          <w:color w:val="000000"/>
          <w:kern w:val="18"/>
          <w:sz w:val="24"/>
          <w:szCs w:val="20"/>
          <w:lang w:eastAsia="ja-JP"/>
        </w:rPr>
        <w:t xml:space="preserve"> </w:t>
      </w:r>
      <w:r w:rsidR="001D4482" w:rsidRPr="001D4482">
        <w:rPr>
          <w:rFonts w:ascii="Calibri" w:eastAsia="Palatino Linotype" w:hAnsi="Calibri" w:cs="Times New Roman"/>
          <w:color w:val="000000"/>
          <w:kern w:val="18"/>
          <w:sz w:val="24"/>
          <w:szCs w:val="20"/>
          <w:lang w:eastAsia="ja-JP"/>
        </w:rPr>
        <w:t>be used to:</w:t>
      </w:r>
    </w:p>
    <w:p w14:paraId="4E0B8804" w14:textId="77777777" w:rsidR="001D4482" w:rsidRPr="001D4482" w:rsidRDefault="001D4482" w:rsidP="001D4482">
      <w:pPr>
        <w:numPr>
          <w:ilvl w:val="0"/>
          <w:numId w:val="2"/>
        </w:numPr>
        <w:spacing w:after="0" w:line="240" w:lineRule="auto"/>
        <w:contextualSpacing/>
        <w:rPr>
          <w:rFonts w:ascii="Calibri" w:eastAsia="Palatino Linotype" w:hAnsi="Calibri" w:cs="Times New Roman"/>
          <w:color w:val="000000"/>
          <w:kern w:val="18"/>
          <w:sz w:val="24"/>
          <w:szCs w:val="20"/>
          <w:lang w:eastAsia="ja-JP"/>
        </w:rPr>
      </w:pPr>
      <w:r w:rsidRPr="001D4482">
        <w:rPr>
          <w:rFonts w:ascii="Calibri" w:eastAsia="Palatino Linotype" w:hAnsi="Calibri" w:cs="Times New Roman"/>
          <w:color w:val="000000"/>
          <w:kern w:val="18"/>
          <w:sz w:val="24"/>
          <w:szCs w:val="20"/>
          <w:lang w:eastAsia="ja-JP"/>
        </w:rPr>
        <w:t xml:space="preserve">Create high expectations for </w:t>
      </w:r>
      <w:proofErr w:type="gramStart"/>
      <w:r w:rsidRPr="001D4482">
        <w:rPr>
          <w:rFonts w:ascii="Calibri" w:eastAsia="Palatino Linotype" w:hAnsi="Calibri" w:cs="Times New Roman"/>
          <w:color w:val="000000"/>
          <w:kern w:val="18"/>
          <w:sz w:val="24"/>
          <w:szCs w:val="20"/>
          <w:lang w:eastAsia="ja-JP"/>
        </w:rPr>
        <w:t>each and every</w:t>
      </w:r>
      <w:proofErr w:type="gramEnd"/>
      <w:r w:rsidRPr="001D4482">
        <w:rPr>
          <w:rFonts w:ascii="Calibri" w:eastAsia="Palatino Linotype" w:hAnsi="Calibri" w:cs="Times New Roman"/>
          <w:color w:val="000000"/>
          <w:kern w:val="18"/>
          <w:sz w:val="24"/>
          <w:szCs w:val="20"/>
          <w:lang w:eastAsia="ja-JP"/>
        </w:rPr>
        <w:t xml:space="preserve"> child to reach his or her full potential</w:t>
      </w:r>
      <w:r w:rsidR="00F96E75">
        <w:rPr>
          <w:rFonts w:ascii="Calibri" w:eastAsia="Palatino Linotype" w:hAnsi="Calibri" w:cs="Times New Roman"/>
          <w:color w:val="000000"/>
          <w:kern w:val="18"/>
          <w:sz w:val="24"/>
          <w:szCs w:val="20"/>
          <w:lang w:eastAsia="ja-JP"/>
        </w:rPr>
        <w:t>;</w:t>
      </w:r>
    </w:p>
    <w:p w14:paraId="4E0B8805" w14:textId="77777777" w:rsidR="001D4482" w:rsidRPr="001D4482" w:rsidRDefault="001D4482" w:rsidP="001D4482">
      <w:pPr>
        <w:numPr>
          <w:ilvl w:val="0"/>
          <w:numId w:val="2"/>
        </w:numPr>
        <w:spacing w:after="0" w:line="240" w:lineRule="auto"/>
        <w:contextualSpacing/>
        <w:rPr>
          <w:rFonts w:ascii="Calibri" w:eastAsia="Palatino Linotype" w:hAnsi="Calibri" w:cs="Times New Roman"/>
          <w:color w:val="000000"/>
          <w:kern w:val="18"/>
          <w:sz w:val="24"/>
          <w:szCs w:val="20"/>
          <w:lang w:eastAsia="ja-JP"/>
        </w:rPr>
      </w:pPr>
      <w:r w:rsidRPr="001D4482">
        <w:rPr>
          <w:rFonts w:ascii="Calibri" w:eastAsia="Palatino Linotype" w:hAnsi="Calibri" w:cs="Times New Roman"/>
          <w:color w:val="000000"/>
          <w:kern w:val="18"/>
          <w:sz w:val="24"/>
          <w:szCs w:val="20"/>
          <w:lang w:eastAsia="ja-JP"/>
        </w:rPr>
        <w:t>Influence priorities for professional development, training and technical assistance</w:t>
      </w:r>
      <w:r w:rsidR="00F96E75">
        <w:rPr>
          <w:rFonts w:ascii="Calibri" w:eastAsia="Palatino Linotype" w:hAnsi="Calibri" w:cs="Times New Roman"/>
          <w:color w:val="000000"/>
          <w:kern w:val="18"/>
          <w:sz w:val="24"/>
          <w:szCs w:val="20"/>
          <w:lang w:eastAsia="ja-JP"/>
        </w:rPr>
        <w:t>;</w:t>
      </w:r>
    </w:p>
    <w:p w14:paraId="4E0B8806" w14:textId="77777777" w:rsidR="001D4482" w:rsidRPr="001D4482" w:rsidRDefault="001D4482" w:rsidP="001D4482">
      <w:pPr>
        <w:numPr>
          <w:ilvl w:val="0"/>
          <w:numId w:val="2"/>
        </w:numPr>
        <w:spacing w:after="0" w:line="240" w:lineRule="auto"/>
        <w:contextualSpacing/>
        <w:rPr>
          <w:rFonts w:ascii="Calibri" w:eastAsia="Palatino Linotype" w:hAnsi="Calibri" w:cs="Times New Roman"/>
          <w:color w:val="000000"/>
          <w:kern w:val="18"/>
          <w:sz w:val="24"/>
          <w:szCs w:val="20"/>
          <w:lang w:eastAsia="ja-JP"/>
        </w:rPr>
      </w:pPr>
      <w:r w:rsidRPr="001D4482">
        <w:rPr>
          <w:rFonts w:ascii="Calibri" w:eastAsia="Palatino Linotype" w:hAnsi="Calibri" w:cs="Times New Roman"/>
          <w:color w:val="000000"/>
          <w:kern w:val="18"/>
          <w:sz w:val="24"/>
          <w:szCs w:val="20"/>
          <w:lang w:eastAsia="ja-JP"/>
        </w:rPr>
        <w:t>Shape responsive policies and guidance</w:t>
      </w:r>
      <w:r w:rsidR="00F96E75">
        <w:rPr>
          <w:rFonts w:ascii="Calibri" w:eastAsia="Palatino Linotype" w:hAnsi="Calibri" w:cs="Times New Roman"/>
          <w:color w:val="000000"/>
          <w:kern w:val="18"/>
          <w:sz w:val="24"/>
          <w:szCs w:val="20"/>
          <w:lang w:eastAsia="ja-JP"/>
        </w:rPr>
        <w:t>;</w:t>
      </w:r>
    </w:p>
    <w:p w14:paraId="4E0B8807" w14:textId="77777777" w:rsidR="001D4482" w:rsidRPr="001D4482" w:rsidRDefault="001D4482" w:rsidP="001D4482">
      <w:pPr>
        <w:numPr>
          <w:ilvl w:val="0"/>
          <w:numId w:val="2"/>
        </w:numPr>
        <w:spacing w:after="0" w:line="240" w:lineRule="auto"/>
        <w:contextualSpacing/>
        <w:rPr>
          <w:rFonts w:ascii="Calibri" w:eastAsia="Palatino Linotype" w:hAnsi="Calibri" w:cs="Times New Roman"/>
          <w:color w:val="000000"/>
          <w:kern w:val="18"/>
          <w:sz w:val="24"/>
          <w:szCs w:val="20"/>
          <w:lang w:eastAsia="ja-JP"/>
        </w:rPr>
      </w:pPr>
      <w:r w:rsidRPr="001D4482">
        <w:rPr>
          <w:rFonts w:ascii="Calibri" w:eastAsia="Palatino Linotype" w:hAnsi="Calibri" w:cs="Times New Roman"/>
          <w:color w:val="000000"/>
          <w:kern w:val="18"/>
          <w:sz w:val="24"/>
          <w:szCs w:val="20"/>
          <w:lang w:eastAsia="ja-JP"/>
        </w:rPr>
        <w:t>Guide collection of data that will enable Vermont to see how well each child is faring</w:t>
      </w:r>
      <w:r w:rsidR="00F96E75">
        <w:rPr>
          <w:rFonts w:ascii="Calibri" w:eastAsia="Palatino Linotype" w:hAnsi="Calibri" w:cs="Times New Roman"/>
          <w:color w:val="000000"/>
          <w:kern w:val="18"/>
          <w:sz w:val="24"/>
          <w:szCs w:val="20"/>
          <w:lang w:eastAsia="ja-JP"/>
        </w:rPr>
        <w:t>;</w:t>
      </w:r>
    </w:p>
    <w:p w14:paraId="4E0B8808" w14:textId="77777777" w:rsidR="001D4482" w:rsidRPr="001D4482" w:rsidRDefault="001D4482" w:rsidP="001D4482">
      <w:pPr>
        <w:numPr>
          <w:ilvl w:val="0"/>
          <w:numId w:val="2"/>
        </w:numPr>
        <w:spacing w:after="0" w:line="240" w:lineRule="auto"/>
        <w:contextualSpacing/>
        <w:rPr>
          <w:rFonts w:ascii="Calibri" w:eastAsia="Palatino Linotype" w:hAnsi="Calibri" w:cs="Times New Roman"/>
          <w:color w:val="000000"/>
          <w:kern w:val="18"/>
          <w:sz w:val="24"/>
          <w:szCs w:val="20"/>
          <w:lang w:eastAsia="ja-JP"/>
        </w:rPr>
      </w:pPr>
      <w:r w:rsidRPr="001D4482">
        <w:rPr>
          <w:rFonts w:ascii="Calibri" w:eastAsia="Palatino Linotype" w:hAnsi="Calibri" w:cs="Times New Roman"/>
          <w:color w:val="000000"/>
          <w:kern w:val="18"/>
          <w:sz w:val="24"/>
          <w:szCs w:val="20"/>
          <w:lang w:eastAsia="ja-JP"/>
        </w:rPr>
        <w:t>Shape the daily work of educators, therapists, and administrators with each child and family</w:t>
      </w:r>
      <w:r w:rsidR="00F96E75">
        <w:rPr>
          <w:rFonts w:ascii="Calibri" w:eastAsia="Palatino Linotype" w:hAnsi="Calibri" w:cs="Times New Roman"/>
          <w:color w:val="000000"/>
          <w:kern w:val="18"/>
          <w:sz w:val="24"/>
          <w:szCs w:val="20"/>
          <w:lang w:eastAsia="ja-JP"/>
        </w:rPr>
        <w:t>; and</w:t>
      </w:r>
    </w:p>
    <w:p w14:paraId="4E0B8809" w14:textId="621EBDE6" w:rsidR="001D4482" w:rsidRPr="001D4482" w:rsidRDefault="001D4482" w:rsidP="001D4482">
      <w:pPr>
        <w:numPr>
          <w:ilvl w:val="0"/>
          <w:numId w:val="2"/>
        </w:numPr>
        <w:spacing w:after="0" w:line="240" w:lineRule="auto"/>
        <w:contextualSpacing/>
        <w:rPr>
          <w:rFonts w:ascii="Calibri" w:eastAsia="Palatino Linotype" w:hAnsi="Calibri" w:cs="Times New Roman"/>
          <w:color w:val="000000"/>
          <w:kern w:val="18"/>
          <w:sz w:val="24"/>
          <w:szCs w:val="20"/>
          <w:lang w:eastAsia="ja-JP"/>
        </w:rPr>
      </w:pPr>
      <w:r w:rsidRPr="001D4482">
        <w:rPr>
          <w:rFonts w:ascii="Calibri" w:eastAsia="Palatino Linotype" w:hAnsi="Calibri" w:cs="Times New Roman"/>
          <w:color w:val="000000"/>
          <w:kern w:val="18"/>
          <w:sz w:val="24"/>
          <w:szCs w:val="20"/>
          <w:lang w:eastAsia="ja-JP"/>
        </w:rPr>
        <w:t>Build collaboration and strengthen connections across agencies and sectors</w:t>
      </w:r>
      <w:r w:rsidR="00CA7625">
        <w:rPr>
          <w:rFonts w:ascii="Calibri" w:eastAsia="Palatino Linotype" w:hAnsi="Calibri" w:cs="Times New Roman"/>
          <w:color w:val="000000"/>
          <w:kern w:val="18"/>
          <w:sz w:val="24"/>
          <w:szCs w:val="20"/>
          <w:lang w:eastAsia="ja-JP"/>
        </w:rPr>
        <w:t>.</w:t>
      </w:r>
    </w:p>
    <w:p w14:paraId="4E0B880A" w14:textId="77777777" w:rsidR="001D4482" w:rsidRPr="00FC00B1" w:rsidRDefault="001D4482" w:rsidP="001D4482">
      <w:pPr>
        <w:spacing w:after="0" w:line="240" w:lineRule="auto"/>
        <w:rPr>
          <w:rFonts w:ascii="Calibri" w:eastAsia="Times New Roman" w:hAnsi="Calibri" w:cs="Times New Roman"/>
          <w:sz w:val="16"/>
          <w:szCs w:val="24"/>
        </w:rPr>
      </w:pPr>
    </w:p>
    <w:p w14:paraId="4E0B880B" w14:textId="39CD6A54" w:rsidR="001D4482" w:rsidRPr="00D73182" w:rsidRDefault="00F96E75" w:rsidP="001D4482">
      <w:pPr>
        <w:spacing w:after="0" w:line="240" w:lineRule="auto"/>
        <w:rPr>
          <w:rFonts w:ascii="Calibri" w:eastAsia="Times New Roman" w:hAnsi="Calibri" w:cs="Times New Roman"/>
          <w:b/>
          <w:color w:val="538135" w:themeColor="accent6" w:themeShade="BF"/>
          <w:sz w:val="26"/>
          <w:szCs w:val="26"/>
        </w:rPr>
      </w:pPr>
      <w:r w:rsidRPr="00D73182">
        <w:rPr>
          <w:rFonts w:ascii="Calibri" w:eastAsia="Times New Roman" w:hAnsi="Calibri" w:cs="Times New Roman"/>
          <w:b/>
          <w:color w:val="538135" w:themeColor="accent6" w:themeShade="BF"/>
          <w:sz w:val="26"/>
          <w:szCs w:val="26"/>
        </w:rPr>
        <w:t xml:space="preserve">How </w:t>
      </w:r>
      <w:r w:rsidR="00796674">
        <w:rPr>
          <w:rFonts w:ascii="Calibri" w:eastAsia="Times New Roman" w:hAnsi="Calibri" w:cs="Times New Roman"/>
          <w:b/>
          <w:color w:val="538135" w:themeColor="accent6" w:themeShade="BF"/>
          <w:sz w:val="26"/>
          <w:szCs w:val="26"/>
        </w:rPr>
        <w:t>do</w:t>
      </w:r>
      <w:r w:rsidRPr="00D73182">
        <w:rPr>
          <w:rFonts w:ascii="Calibri" w:eastAsia="Times New Roman" w:hAnsi="Calibri" w:cs="Times New Roman"/>
          <w:b/>
          <w:color w:val="538135" w:themeColor="accent6" w:themeShade="BF"/>
          <w:sz w:val="26"/>
          <w:szCs w:val="26"/>
        </w:rPr>
        <w:t xml:space="preserve"> the Guiding Principles align with and reflect current state and national perspectives and priorities?</w:t>
      </w:r>
    </w:p>
    <w:p w14:paraId="4E0B880C" w14:textId="5758D0CA" w:rsidR="001D4482" w:rsidRPr="001D4482" w:rsidRDefault="00F96E75" w:rsidP="001D4482">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The words and concepts of the Guiding Principles </w:t>
      </w:r>
      <w:r w:rsidR="009273CF">
        <w:rPr>
          <w:rFonts w:ascii="Calibri" w:eastAsia="Times New Roman" w:hAnsi="Calibri" w:cs="Times New Roman"/>
          <w:sz w:val="24"/>
          <w:szCs w:val="24"/>
        </w:rPr>
        <w:t>were</w:t>
      </w:r>
      <w:r>
        <w:rPr>
          <w:rFonts w:ascii="Calibri" w:eastAsia="Times New Roman" w:hAnsi="Calibri" w:cs="Times New Roman"/>
          <w:sz w:val="24"/>
          <w:szCs w:val="24"/>
        </w:rPr>
        <w:t xml:space="preserve"> developed to:</w:t>
      </w:r>
    </w:p>
    <w:p w14:paraId="4E0B880D" w14:textId="77777777" w:rsidR="001D4482" w:rsidRPr="001D4482" w:rsidRDefault="00F96E75" w:rsidP="001D4482">
      <w:pPr>
        <w:numPr>
          <w:ilvl w:val="0"/>
          <w:numId w:val="1"/>
        </w:numPr>
        <w:spacing w:after="0" w:line="240" w:lineRule="auto"/>
        <w:contextualSpacing/>
        <w:rPr>
          <w:rFonts w:ascii="Calibri" w:eastAsia="Times New Roman" w:hAnsi="Calibri" w:cs="Times New Roman"/>
          <w:sz w:val="24"/>
          <w:szCs w:val="24"/>
        </w:rPr>
      </w:pPr>
      <w:r>
        <w:rPr>
          <w:rFonts w:ascii="Calibri" w:eastAsia="Times New Roman" w:hAnsi="Calibri" w:cs="Times New Roman"/>
          <w:sz w:val="24"/>
          <w:szCs w:val="24"/>
        </w:rPr>
        <w:t xml:space="preserve">Incorporate, </w:t>
      </w:r>
      <w:r w:rsidR="001D4482" w:rsidRPr="001D4482">
        <w:rPr>
          <w:rFonts w:ascii="Calibri" w:eastAsia="Times New Roman" w:hAnsi="Calibri" w:cs="Times New Roman"/>
          <w:sz w:val="24"/>
          <w:szCs w:val="24"/>
        </w:rPr>
        <w:t>build on, complement, and extend early childhoo</w:t>
      </w:r>
      <w:r w:rsidR="00516360">
        <w:rPr>
          <w:rFonts w:ascii="Calibri" w:eastAsia="Times New Roman" w:hAnsi="Calibri" w:cs="Times New Roman"/>
          <w:sz w:val="24"/>
          <w:szCs w:val="24"/>
        </w:rPr>
        <w:t xml:space="preserve">d work that is foundational in </w:t>
      </w:r>
      <w:r w:rsidR="001D4482" w:rsidRPr="001D4482">
        <w:rPr>
          <w:rFonts w:ascii="Calibri" w:eastAsia="Times New Roman" w:hAnsi="Calibri" w:cs="Times New Roman"/>
          <w:sz w:val="24"/>
          <w:szCs w:val="24"/>
        </w:rPr>
        <w:t xml:space="preserve">Vermont (e.g., the </w:t>
      </w:r>
      <w:r w:rsidR="00516360">
        <w:rPr>
          <w:rFonts w:ascii="Calibri" w:eastAsia="Times New Roman" w:hAnsi="Calibri" w:cs="Times New Roman"/>
          <w:sz w:val="24"/>
          <w:szCs w:val="24"/>
        </w:rPr>
        <w:t xml:space="preserve">Vermont Early Learning Standards or </w:t>
      </w:r>
      <w:r w:rsidR="001D4482" w:rsidRPr="001D4482">
        <w:rPr>
          <w:rFonts w:ascii="Calibri" w:eastAsia="Times New Roman" w:hAnsi="Calibri" w:cs="Times New Roman"/>
          <w:sz w:val="24"/>
          <w:szCs w:val="24"/>
        </w:rPr>
        <w:t>VELS, Vermont’s Early Childhood Action Plan)</w:t>
      </w:r>
      <w:r>
        <w:rPr>
          <w:rFonts w:ascii="Calibri" w:eastAsia="Times New Roman" w:hAnsi="Calibri" w:cs="Times New Roman"/>
          <w:sz w:val="24"/>
          <w:szCs w:val="24"/>
        </w:rPr>
        <w:t>;</w:t>
      </w:r>
    </w:p>
    <w:p w14:paraId="4E0B880E" w14:textId="77777777" w:rsidR="001D4482" w:rsidRPr="001D4482" w:rsidRDefault="001D4482" w:rsidP="001D4482">
      <w:pPr>
        <w:numPr>
          <w:ilvl w:val="0"/>
          <w:numId w:val="1"/>
        </w:numPr>
        <w:spacing w:after="0" w:line="240" w:lineRule="auto"/>
        <w:contextualSpacing/>
        <w:rPr>
          <w:rFonts w:ascii="Calibri" w:eastAsia="Times New Roman" w:hAnsi="Calibri" w:cs="Times New Roman"/>
          <w:sz w:val="24"/>
          <w:szCs w:val="24"/>
        </w:rPr>
      </w:pPr>
      <w:r w:rsidRPr="001D4482">
        <w:rPr>
          <w:rFonts w:ascii="Calibri" w:eastAsia="Times New Roman" w:hAnsi="Calibri" w:cs="Times New Roman"/>
          <w:sz w:val="24"/>
          <w:szCs w:val="24"/>
        </w:rPr>
        <w:t>Be consistent with both state and federal mandates (e.g., section 619 of IDEA)</w:t>
      </w:r>
      <w:r w:rsidR="00F96E75">
        <w:rPr>
          <w:rFonts w:ascii="Calibri" w:eastAsia="Times New Roman" w:hAnsi="Calibri" w:cs="Times New Roman"/>
          <w:sz w:val="24"/>
          <w:szCs w:val="24"/>
        </w:rPr>
        <w:t>; and</w:t>
      </w:r>
    </w:p>
    <w:p w14:paraId="4E0B880F" w14:textId="77777777" w:rsidR="001D4482" w:rsidRPr="001D4482" w:rsidRDefault="001D4482" w:rsidP="001D4482">
      <w:pPr>
        <w:numPr>
          <w:ilvl w:val="0"/>
          <w:numId w:val="1"/>
        </w:numPr>
        <w:spacing w:after="0" w:line="240" w:lineRule="auto"/>
        <w:contextualSpacing/>
        <w:rPr>
          <w:rFonts w:ascii="Calibri" w:eastAsia="Times New Roman" w:hAnsi="Calibri" w:cs="Times New Roman"/>
          <w:sz w:val="24"/>
          <w:szCs w:val="24"/>
        </w:rPr>
      </w:pPr>
      <w:r w:rsidRPr="001D4482">
        <w:rPr>
          <w:rFonts w:ascii="Calibri" w:eastAsia="Times New Roman" w:hAnsi="Calibri" w:cs="Times New Roman"/>
          <w:sz w:val="24"/>
          <w:szCs w:val="24"/>
        </w:rPr>
        <w:t xml:space="preserve">Move beyond the inclusion of children with disabilities to offer explicit, intentional, and actionable statements related to supporting the full potential of </w:t>
      </w:r>
      <w:proofErr w:type="gramStart"/>
      <w:r w:rsidRPr="001D4482">
        <w:rPr>
          <w:rFonts w:ascii="Calibri" w:eastAsia="Times New Roman" w:hAnsi="Calibri" w:cs="Times New Roman"/>
          <w:sz w:val="24"/>
          <w:szCs w:val="24"/>
        </w:rPr>
        <w:t>each and every</w:t>
      </w:r>
      <w:proofErr w:type="gramEnd"/>
      <w:r w:rsidRPr="001D4482">
        <w:rPr>
          <w:rFonts w:ascii="Calibri" w:eastAsia="Times New Roman" w:hAnsi="Calibri" w:cs="Times New Roman"/>
          <w:sz w:val="24"/>
          <w:szCs w:val="24"/>
        </w:rPr>
        <w:t xml:space="preserve"> child and their family</w:t>
      </w:r>
      <w:r w:rsidR="00F96E75">
        <w:rPr>
          <w:rFonts w:ascii="Calibri" w:eastAsia="Times New Roman" w:hAnsi="Calibri" w:cs="Times New Roman"/>
          <w:sz w:val="24"/>
          <w:szCs w:val="24"/>
        </w:rPr>
        <w:t>.</w:t>
      </w:r>
    </w:p>
    <w:p w14:paraId="4E0B8810" w14:textId="77777777" w:rsidR="00F96E75" w:rsidRPr="00FC00B1" w:rsidRDefault="00F96E75" w:rsidP="00F96E75">
      <w:pPr>
        <w:spacing w:after="0" w:line="240" w:lineRule="auto"/>
        <w:rPr>
          <w:sz w:val="16"/>
        </w:rPr>
      </w:pPr>
    </w:p>
    <w:p w14:paraId="4E0B8811" w14:textId="77777777" w:rsidR="00F96E75" w:rsidRPr="00D73182" w:rsidRDefault="00F96E75" w:rsidP="00F96E75">
      <w:pPr>
        <w:spacing w:after="0" w:line="240" w:lineRule="auto"/>
        <w:rPr>
          <w:rFonts w:ascii="Calibri" w:eastAsia="Times New Roman" w:hAnsi="Calibri" w:cs="Times New Roman"/>
          <w:b/>
          <w:color w:val="538135" w:themeColor="accent6" w:themeShade="BF"/>
          <w:sz w:val="26"/>
          <w:szCs w:val="26"/>
        </w:rPr>
      </w:pPr>
      <w:r w:rsidRPr="00D73182">
        <w:rPr>
          <w:rFonts w:ascii="Calibri" w:eastAsia="Times New Roman" w:hAnsi="Calibri" w:cs="Times New Roman"/>
          <w:b/>
          <w:color w:val="538135" w:themeColor="accent6" w:themeShade="BF"/>
          <w:sz w:val="26"/>
          <w:szCs w:val="26"/>
        </w:rPr>
        <w:t xml:space="preserve">Steps in the </w:t>
      </w:r>
      <w:r w:rsidR="00D73182" w:rsidRPr="00D73182">
        <w:rPr>
          <w:rFonts w:ascii="Calibri" w:eastAsia="Times New Roman" w:hAnsi="Calibri" w:cs="Times New Roman"/>
          <w:b/>
          <w:color w:val="538135" w:themeColor="accent6" w:themeShade="BF"/>
          <w:sz w:val="26"/>
          <w:szCs w:val="26"/>
        </w:rPr>
        <w:t xml:space="preserve">Guiding Principles </w:t>
      </w:r>
      <w:r w:rsidRPr="00D73182">
        <w:rPr>
          <w:rFonts w:ascii="Calibri" w:eastAsia="Times New Roman" w:hAnsi="Calibri" w:cs="Times New Roman"/>
          <w:b/>
          <w:color w:val="538135" w:themeColor="accent6" w:themeShade="BF"/>
          <w:sz w:val="26"/>
          <w:szCs w:val="26"/>
        </w:rPr>
        <w:t>Development Process</w:t>
      </w:r>
    </w:p>
    <w:p w14:paraId="4E0B8812" w14:textId="77777777" w:rsidR="00F96E75" w:rsidRPr="00337A20" w:rsidRDefault="00F96E75" w:rsidP="00F96E75">
      <w:pPr>
        <w:spacing w:after="0" w:line="240" w:lineRule="auto"/>
        <w:rPr>
          <w:sz w:val="8"/>
        </w:rPr>
      </w:pPr>
    </w:p>
    <w:tbl>
      <w:tblPr>
        <w:tblStyle w:val="TableGrid"/>
        <w:tblW w:w="10440" w:type="dxa"/>
        <w:tblLook w:val="04A0" w:firstRow="1" w:lastRow="0" w:firstColumn="1" w:lastColumn="0" w:noHBand="0" w:noVBand="1"/>
      </w:tblPr>
      <w:tblGrid>
        <w:gridCol w:w="8118"/>
        <w:gridCol w:w="2322"/>
      </w:tblGrid>
      <w:tr w:rsidR="00FC00B1" w:rsidRPr="00516360" w14:paraId="4E0B8815" w14:textId="769D018B" w:rsidTr="00FC00B1">
        <w:tc>
          <w:tcPr>
            <w:tcW w:w="8118" w:type="dxa"/>
            <w:shd w:val="clear" w:color="auto" w:fill="D5DCE4" w:themeFill="text2" w:themeFillTint="33"/>
          </w:tcPr>
          <w:p w14:paraId="4E0B8814" w14:textId="7E6BC18A" w:rsidR="00FC00B1" w:rsidRPr="00516360" w:rsidRDefault="00FC00B1" w:rsidP="00516360">
            <w:pPr>
              <w:jc w:val="center"/>
              <w:rPr>
                <w:b/>
              </w:rPr>
            </w:pPr>
            <w:r w:rsidRPr="00516360">
              <w:rPr>
                <w:b/>
              </w:rPr>
              <w:t>Step in the Process</w:t>
            </w:r>
          </w:p>
        </w:tc>
        <w:tc>
          <w:tcPr>
            <w:tcW w:w="2322" w:type="dxa"/>
            <w:shd w:val="clear" w:color="auto" w:fill="D5DCE4" w:themeFill="text2" w:themeFillTint="33"/>
          </w:tcPr>
          <w:p w14:paraId="00512D0F" w14:textId="7D4ECD14" w:rsidR="00FC00B1" w:rsidRDefault="00FC00B1" w:rsidP="00516360">
            <w:pPr>
              <w:jc w:val="center"/>
              <w:rPr>
                <w:b/>
              </w:rPr>
            </w:pPr>
            <w:r>
              <w:rPr>
                <w:b/>
              </w:rPr>
              <w:t>Additional Information</w:t>
            </w:r>
          </w:p>
        </w:tc>
      </w:tr>
      <w:tr w:rsidR="00FC00B1" w14:paraId="4E0B8818" w14:textId="42EB17CD" w:rsidTr="00FC00B1">
        <w:tc>
          <w:tcPr>
            <w:tcW w:w="8118" w:type="dxa"/>
          </w:tcPr>
          <w:p w14:paraId="4E0B8817" w14:textId="77777777" w:rsidR="00FC00B1" w:rsidRDefault="00FC00B1" w:rsidP="00F96E75">
            <w:r>
              <w:t>Guiding Principles Work Group meetings to obtain input and develop the process for state validation of the final product</w:t>
            </w:r>
          </w:p>
        </w:tc>
        <w:tc>
          <w:tcPr>
            <w:tcW w:w="2322" w:type="dxa"/>
            <w:vMerge w:val="restart"/>
          </w:tcPr>
          <w:p w14:paraId="6E2FE182" w14:textId="77777777" w:rsidR="00FC00B1" w:rsidRPr="00FC00B1" w:rsidRDefault="00FC00B1" w:rsidP="00F96E75">
            <w:pPr>
              <w:rPr>
                <w:sz w:val="12"/>
              </w:rPr>
            </w:pPr>
          </w:p>
          <w:p w14:paraId="4FFCF554" w14:textId="527B294B" w:rsidR="00FC00B1" w:rsidRPr="00FC00B1" w:rsidRDefault="00FC00B1" w:rsidP="00F96E75">
            <w:pPr>
              <w:rPr>
                <w:b/>
              </w:rPr>
            </w:pPr>
            <w:r>
              <w:t xml:space="preserve">Additional details about each of these steps is available at </w:t>
            </w:r>
            <w:hyperlink r:id="rId5" w:history="1">
              <w:r w:rsidRPr="00526079">
                <w:rPr>
                  <w:rStyle w:val="Hyperlink"/>
                  <w:b/>
                  <w:color w:val="385623" w:themeColor="accent6" w:themeShade="80"/>
                  <w:u w:val="none"/>
                </w:rPr>
                <w:t>https://fpg.unc.edu/</w:t>
              </w:r>
              <w:r w:rsidRPr="00526079">
                <w:rPr>
                  <w:rStyle w:val="Hyperlink"/>
                  <w:b/>
                  <w:color w:val="385623" w:themeColor="accent6" w:themeShade="80"/>
                  <w:u w:val="none"/>
                </w:rPr>
                <w:br/>
                <w:t>presentations/full-and-equitable-participation-principles</w:t>
              </w:r>
            </w:hyperlink>
          </w:p>
        </w:tc>
      </w:tr>
      <w:tr w:rsidR="00FC00B1" w14:paraId="4E0B881B" w14:textId="3959E3DC" w:rsidTr="00FC00B1">
        <w:tc>
          <w:tcPr>
            <w:tcW w:w="8118" w:type="dxa"/>
          </w:tcPr>
          <w:p w14:paraId="4E0B881A" w14:textId="77777777" w:rsidR="00FC00B1" w:rsidRDefault="00FC00B1" w:rsidP="00F96E75">
            <w:r>
              <w:t>Critical Conversation at Lake Morey to provide statewide input to a draft of the Guiding Principles</w:t>
            </w:r>
          </w:p>
        </w:tc>
        <w:tc>
          <w:tcPr>
            <w:tcW w:w="2322" w:type="dxa"/>
            <w:vMerge/>
          </w:tcPr>
          <w:p w14:paraId="4887417E" w14:textId="152DD647" w:rsidR="00FC00B1" w:rsidRDefault="00FC00B1" w:rsidP="00F96E75"/>
        </w:tc>
      </w:tr>
      <w:tr w:rsidR="00FC00B1" w14:paraId="4E0B881E" w14:textId="4E789BBD" w:rsidTr="00FC00B1">
        <w:tc>
          <w:tcPr>
            <w:tcW w:w="8118" w:type="dxa"/>
          </w:tcPr>
          <w:p w14:paraId="4E0B881D" w14:textId="5E1A4FD8" w:rsidR="00FC00B1" w:rsidRDefault="00FC00B1" w:rsidP="00FC00B1">
            <w:r>
              <w:t>Work Group input on multiple drafts of the Guiding Principles, followed by revisions</w:t>
            </w:r>
          </w:p>
        </w:tc>
        <w:tc>
          <w:tcPr>
            <w:tcW w:w="2322" w:type="dxa"/>
            <w:vMerge/>
          </w:tcPr>
          <w:p w14:paraId="03FB902F" w14:textId="32159155" w:rsidR="00FC00B1" w:rsidRDefault="00FC00B1" w:rsidP="00F96E75"/>
        </w:tc>
      </w:tr>
      <w:tr w:rsidR="00FC00B1" w14:paraId="4E0B8824" w14:textId="75943DAE" w:rsidTr="00FC00B1">
        <w:tc>
          <w:tcPr>
            <w:tcW w:w="8118" w:type="dxa"/>
          </w:tcPr>
          <w:p w14:paraId="4E0B8823" w14:textId="29B7B9F2" w:rsidR="00FC00B1" w:rsidRDefault="00FC00B1" w:rsidP="00FC00B1">
            <w:r>
              <w:t>Broad statewide review and input to draft; request for endorsement</w:t>
            </w:r>
          </w:p>
        </w:tc>
        <w:tc>
          <w:tcPr>
            <w:tcW w:w="2322" w:type="dxa"/>
            <w:vMerge/>
          </w:tcPr>
          <w:p w14:paraId="530F3020" w14:textId="54EB5383" w:rsidR="00FC00B1" w:rsidRDefault="00FC00B1" w:rsidP="00F96E75"/>
        </w:tc>
      </w:tr>
      <w:tr w:rsidR="00FC00B1" w14:paraId="3728D10F" w14:textId="77777777" w:rsidTr="00FC00B1">
        <w:tc>
          <w:tcPr>
            <w:tcW w:w="8118" w:type="dxa"/>
          </w:tcPr>
          <w:p w14:paraId="3D2EB0E1" w14:textId="523ED148" w:rsidR="00FC00B1" w:rsidRDefault="00FC00B1" w:rsidP="00FC00B1">
            <w:r>
              <w:t>Final draft to incorporate feedback from statewide validation; approved by Work Group</w:t>
            </w:r>
          </w:p>
        </w:tc>
        <w:tc>
          <w:tcPr>
            <w:tcW w:w="2322" w:type="dxa"/>
            <w:vMerge/>
          </w:tcPr>
          <w:p w14:paraId="4344882C" w14:textId="1D264230" w:rsidR="00FC00B1" w:rsidRDefault="00FC00B1" w:rsidP="00F96E75"/>
        </w:tc>
      </w:tr>
      <w:tr w:rsidR="00FC00B1" w14:paraId="4E0B8829" w14:textId="716D424E" w:rsidTr="00FC00B1">
        <w:tc>
          <w:tcPr>
            <w:tcW w:w="8118" w:type="dxa"/>
          </w:tcPr>
          <w:p w14:paraId="4E0B8828" w14:textId="406BF124" w:rsidR="00FC00B1" w:rsidRDefault="00FC00B1" w:rsidP="00FC00B1">
            <w:r>
              <w:t>Final Guiding Principles disseminated to all agencies, programs, organizations, and individuals and posted on BBF website</w:t>
            </w:r>
          </w:p>
        </w:tc>
        <w:tc>
          <w:tcPr>
            <w:tcW w:w="2322" w:type="dxa"/>
            <w:vMerge/>
          </w:tcPr>
          <w:p w14:paraId="07959EEE" w14:textId="64BC3505" w:rsidR="00FC00B1" w:rsidRDefault="00FC00B1" w:rsidP="00F96E75"/>
        </w:tc>
      </w:tr>
    </w:tbl>
    <w:p w14:paraId="4E0B882A" w14:textId="77777777" w:rsidR="00337A20" w:rsidRPr="00337A20" w:rsidRDefault="00337A20" w:rsidP="00337A20">
      <w:pPr>
        <w:spacing w:after="200" w:line="276" w:lineRule="auto"/>
        <w:ind w:right="101"/>
        <w:contextualSpacing/>
        <w:rPr>
          <w:sz w:val="8"/>
        </w:rPr>
      </w:pPr>
    </w:p>
    <w:p w14:paraId="02DB1168" w14:textId="0FDDCA3D" w:rsidR="00FC00B1" w:rsidRPr="00526079" w:rsidRDefault="00796674" w:rsidP="00796674">
      <w:pPr>
        <w:spacing w:after="0" w:line="240" w:lineRule="auto"/>
        <w:rPr>
          <w:rFonts w:ascii="Calibri" w:eastAsia="Times New Roman" w:hAnsi="Calibri" w:cs="Times New Roman"/>
          <w:color w:val="385623" w:themeColor="accent6" w:themeShade="80"/>
          <w:sz w:val="24"/>
          <w:szCs w:val="24"/>
        </w:rPr>
      </w:pPr>
      <w:r w:rsidRPr="00796674">
        <w:rPr>
          <w:rFonts w:ascii="Calibri" w:eastAsia="Times New Roman" w:hAnsi="Calibri" w:cs="Times New Roman"/>
          <w:b/>
          <w:color w:val="538135" w:themeColor="accent6" w:themeShade="BF"/>
          <w:sz w:val="26"/>
          <w:szCs w:val="26"/>
        </w:rPr>
        <w:t>Resources</w:t>
      </w:r>
      <w:r w:rsidRPr="00796674">
        <w:rPr>
          <w:rFonts w:ascii="Calibri" w:eastAsia="Times New Roman" w:hAnsi="Calibri" w:cs="Times New Roman"/>
          <w:sz w:val="24"/>
          <w:szCs w:val="24"/>
        </w:rPr>
        <w:t xml:space="preserve"> </w:t>
      </w:r>
      <w:r>
        <w:rPr>
          <w:rFonts w:ascii="Calibri" w:eastAsia="Times New Roman" w:hAnsi="Calibri" w:cs="Times New Roman"/>
          <w:sz w:val="24"/>
          <w:szCs w:val="24"/>
        </w:rPr>
        <w:t>to help individuals</w:t>
      </w:r>
      <w:r w:rsidR="00526079">
        <w:rPr>
          <w:rFonts w:ascii="Calibri" w:eastAsia="Times New Roman" w:hAnsi="Calibri" w:cs="Times New Roman"/>
          <w:sz w:val="24"/>
          <w:szCs w:val="24"/>
        </w:rPr>
        <w:t>, programs, organizations, and agencies to</w:t>
      </w:r>
      <w:r>
        <w:rPr>
          <w:rFonts w:ascii="Calibri" w:eastAsia="Times New Roman" w:hAnsi="Calibri" w:cs="Times New Roman"/>
          <w:sz w:val="24"/>
          <w:szCs w:val="24"/>
        </w:rPr>
        <w:t xml:space="preserve"> learn about and use the Vermont Guiding Principles (e.g., checklists, PowerPoints, personas, etc.) are available at </w:t>
      </w:r>
      <w:hyperlink r:id="rId6" w:history="1">
        <w:r w:rsidRPr="00526079">
          <w:rPr>
            <w:rStyle w:val="Hyperlink"/>
            <w:rFonts w:ascii="Calibri" w:eastAsia="Times New Roman" w:hAnsi="Calibri" w:cs="Times New Roman"/>
            <w:b/>
            <w:color w:val="385623" w:themeColor="accent6" w:themeShade="80"/>
            <w:szCs w:val="24"/>
            <w:u w:val="none"/>
          </w:rPr>
          <w:t>https://fpg.unc.edu/presentations/vt-guiding-principles</w:t>
        </w:r>
      </w:hyperlink>
      <w:r w:rsidRPr="00526079">
        <w:rPr>
          <w:rFonts w:ascii="Calibri" w:eastAsia="Times New Roman" w:hAnsi="Calibri" w:cs="Times New Roman"/>
          <w:color w:val="385623" w:themeColor="accent6" w:themeShade="80"/>
          <w:sz w:val="24"/>
          <w:szCs w:val="24"/>
        </w:rPr>
        <w:t xml:space="preserve"> </w:t>
      </w:r>
    </w:p>
    <w:p w14:paraId="7D6CAAA6" w14:textId="77777777" w:rsidR="00FC00B1" w:rsidRDefault="00FC00B1" w:rsidP="00337A20">
      <w:pPr>
        <w:spacing w:after="0" w:line="240" w:lineRule="auto"/>
        <w:ind w:right="101"/>
        <w:contextualSpacing/>
        <w:rPr>
          <w:b/>
        </w:rPr>
      </w:pPr>
    </w:p>
    <w:p w14:paraId="4E0B882B" w14:textId="40865933" w:rsidR="00337A20" w:rsidRDefault="00337A20" w:rsidP="00337A20">
      <w:pPr>
        <w:spacing w:after="0" w:line="240" w:lineRule="auto"/>
        <w:ind w:right="101"/>
        <w:contextualSpacing/>
      </w:pPr>
      <w:r w:rsidRPr="00CA7625">
        <w:rPr>
          <w:rFonts w:ascii="Calibri" w:eastAsia="Times New Roman" w:hAnsi="Calibri" w:cs="Times New Roman"/>
          <w:b/>
          <w:color w:val="538135" w:themeColor="accent6" w:themeShade="BF"/>
          <w:sz w:val="26"/>
          <w:szCs w:val="26"/>
        </w:rPr>
        <w:t>Questions?</w:t>
      </w:r>
      <w:r>
        <w:t xml:space="preserve"> </w:t>
      </w:r>
      <w:r w:rsidRPr="00CA7625">
        <w:rPr>
          <w:sz w:val="24"/>
        </w:rPr>
        <w:t xml:space="preserve">Please contact Camille Catlett </w:t>
      </w:r>
      <w:r>
        <w:t>(</w:t>
      </w:r>
      <w:hyperlink r:id="rId7" w:history="1">
        <w:r w:rsidRPr="00526079">
          <w:rPr>
            <w:rStyle w:val="Hyperlink"/>
            <w:b/>
            <w:color w:val="385623" w:themeColor="accent6" w:themeShade="80"/>
            <w:u w:val="none"/>
          </w:rPr>
          <w:t>camille.catlett@unc.edu</w:t>
        </w:r>
      </w:hyperlink>
      <w:r>
        <w:t xml:space="preserve"> or 919/824-6842) </w:t>
      </w:r>
      <w:r w:rsidRPr="00CA7625">
        <w:rPr>
          <w:sz w:val="24"/>
        </w:rPr>
        <w:t xml:space="preserve">or Kate Rogers </w:t>
      </w:r>
      <w:r>
        <w:t>(</w:t>
      </w:r>
      <w:hyperlink r:id="rId8" w:history="1">
        <w:r w:rsidRPr="00526079">
          <w:rPr>
            <w:rStyle w:val="Hyperlink"/>
            <w:b/>
            <w:color w:val="385623" w:themeColor="accent6" w:themeShade="80"/>
            <w:u w:val="none"/>
          </w:rPr>
          <w:t>kate.rogers@vermont.gov</w:t>
        </w:r>
      </w:hyperlink>
      <w:r>
        <w:t xml:space="preserve"> or 802/479-</w:t>
      </w:r>
      <w:r w:rsidR="004D02D0">
        <w:t>1454</w:t>
      </w:r>
      <w:r w:rsidR="00796674">
        <w:t>)</w:t>
      </w:r>
    </w:p>
    <w:sectPr w:rsidR="00337A20" w:rsidSect="00F96E7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75C5"/>
    <w:multiLevelType w:val="hybridMultilevel"/>
    <w:tmpl w:val="057E2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6B25F75"/>
    <w:multiLevelType w:val="hybridMultilevel"/>
    <w:tmpl w:val="8C2CD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3B773AF"/>
    <w:multiLevelType w:val="hybridMultilevel"/>
    <w:tmpl w:val="09A0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482"/>
    <w:rsid w:val="00181D6B"/>
    <w:rsid w:val="001B2BD6"/>
    <w:rsid w:val="001D4482"/>
    <w:rsid w:val="003249EB"/>
    <w:rsid w:val="00337A20"/>
    <w:rsid w:val="004D02D0"/>
    <w:rsid w:val="00516360"/>
    <w:rsid w:val="00526079"/>
    <w:rsid w:val="00796674"/>
    <w:rsid w:val="009273CF"/>
    <w:rsid w:val="00CA7625"/>
    <w:rsid w:val="00D65EDB"/>
    <w:rsid w:val="00D73182"/>
    <w:rsid w:val="00E923B4"/>
    <w:rsid w:val="00F96E75"/>
    <w:rsid w:val="00FC0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B87FC"/>
  <w15:docId w15:val="{777DF0B1-716F-4600-BFBD-B35A89AAA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4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7A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rogers@vermont.gov" TargetMode="External"/><Relationship Id="rId3" Type="http://schemas.openxmlformats.org/officeDocument/2006/relationships/settings" Target="settings.xml"/><Relationship Id="rId7" Type="http://schemas.openxmlformats.org/officeDocument/2006/relationships/hyperlink" Target="mailto:camille.catlett@un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pg.unc.edu/presentations/vt-guiding-principles" TargetMode="External"/><Relationship Id="rId5" Type="http://schemas.openxmlformats.org/officeDocument/2006/relationships/hyperlink" Target="https://fpg.unc.edu/presentations/full-and-equitable-participation-principl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Catlett</dc:creator>
  <cp:keywords/>
  <dc:description/>
  <cp:lastModifiedBy>Catlett, Camille</cp:lastModifiedBy>
  <cp:revision>2</cp:revision>
  <cp:lastPrinted>2016-10-31T01:40:00Z</cp:lastPrinted>
  <dcterms:created xsi:type="dcterms:W3CDTF">2019-06-20T14:26:00Z</dcterms:created>
  <dcterms:modified xsi:type="dcterms:W3CDTF">2019-06-20T14:26:00Z</dcterms:modified>
</cp:coreProperties>
</file>