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A04D" w14:textId="45BC5F3F" w:rsidR="00951781" w:rsidRPr="00951781" w:rsidRDefault="00312CA4" w:rsidP="00951781">
      <w:pPr>
        <w:jc w:val="center"/>
        <w:rPr>
          <w:b/>
          <w:sz w:val="28"/>
        </w:rPr>
      </w:pPr>
      <w:r w:rsidRPr="00951781">
        <w:rPr>
          <w:b/>
          <w:sz w:val="28"/>
        </w:rPr>
        <w:t>From All to Each and Every:</w:t>
      </w:r>
    </w:p>
    <w:p w14:paraId="75C64392" w14:textId="3A991B21" w:rsidR="00AE6A36" w:rsidRPr="00951781" w:rsidRDefault="00312CA4" w:rsidP="00951781">
      <w:pPr>
        <w:jc w:val="center"/>
        <w:rPr>
          <w:b/>
          <w:sz w:val="28"/>
        </w:rPr>
      </w:pPr>
      <w:r w:rsidRPr="00951781">
        <w:rPr>
          <w:b/>
          <w:sz w:val="28"/>
        </w:rPr>
        <w:t>Resources to Bring an Emphasis on Inclusion to ANY Conversation</w:t>
      </w:r>
      <w:r w:rsidR="00960B7D" w:rsidRPr="00951781">
        <w:rPr>
          <w:rStyle w:val="FootnoteReference"/>
          <w:b/>
          <w:sz w:val="28"/>
        </w:rPr>
        <w:footnoteReference w:id="2"/>
      </w:r>
    </w:p>
    <w:p w14:paraId="75C64393" w14:textId="77777777" w:rsidR="00AE6A36" w:rsidRPr="00402AAF" w:rsidRDefault="00AE6A36">
      <w:pPr>
        <w:rPr>
          <w:b/>
          <w:sz w:val="12"/>
        </w:rPr>
      </w:pPr>
    </w:p>
    <w:p w14:paraId="75C64394" w14:textId="77777777" w:rsidR="00AE6A36" w:rsidRPr="00AE6A36" w:rsidRDefault="00AE6A36" w:rsidP="00951781">
      <w:pPr>
        <w:jc w:val="center"/>
        <w:rPr>
          <w:rFonts w:ascii="Calibri" w:eastAsia="Times New Roman" w:hAnsi="Calibri" w:cs="Times New Roman"/>
          <w:b/>
          <w:smallCaps/>
          <w:sz w:val="28"/>
          <w:szCs w:val="16"/>
        </w:rPr>
      </w:pPr>
      <w:r w:rsidRPr="00AE6A36">
        <w:rPr>
          <w:rFonts w:ascii="Calibri" w:eastAsia="Times New Roman" w:hAnsi="Calibri" w:cs="Times New Roman"/>
          <w:b/>
          <w:smallCaps/>
          <w:sz w:val="32"/>
          <w:szCs w:val="16"/>
        </w:rPr>
        <w:t>Camille Catlett</w:t>
      </w:r>
    </w:p>
    <w:p w14:paraId="75C64396" w14:textId="2572A7B9" w:rsidR="00AE6A36" w:rsidRPr="00AE6A36" w:rsidRDefault="00AE6A36" w:rsidP="00951781">
      <w:pPr>
        <w:jc w:val="center"/>
        <w:rPr>
          <w:rFonts w:ascii="Calibri" w:eastAsia="Times New Roman" w:hAnsi="Calibri" w:cs="Times New Roman"/>
          <w:b/>
          <w:smallCaps/>
          <w:sz w:val="20"/>
          <w:szCs w:val="16"/>
        </w:rPr>
      </w:pPr>
      <w:r w:rsidRPr="00AE6A36">
        <w:rPr>
          <w:rFonts w:ascii="Calibri" w:eastAsia="Times New Roman" w:hAnsi="Calibri" w:cs="Times New Roman"/>
          <w:b/>
          <w:smallCaps/>
          <w:sz w:val="20"/>
          <w:szCs w:val="16"/>
        </w:rPr>
        <w:t>Frank Porter Graham Child Development Institute</w:t>
      </w:r>
      <w:r w:rsidR="00951781">
        <w:rPr>
          <w:rFonts w:ascii="Calibri" w:eastAsia="Times New Roman" w:hAnsi="Calibri" w:cs="Times New Roman"/>
          <w:b/>
          <w:smallCaps/>
          <w:sz w:val="20"/>
          <w:szCs w:val="16"/>
        </w:rPr>
        <w:t xml:space="preserve">, </w:t>
      </w:r>
      <w:r w:rsidRPr="00AE6A36">
        <w:rPr>
          <w:rFonts w:ascii="Calibri" w:eastAsia="Times New Roman" w:hAnsi="Calibri" w:cs="Times New Roman"/>
          <w:b/>
          <w:smallCaps/>
          <w:sz w:val="20"/>
          <w:szCs w:val="16"/>
        </w:rPr>
        <w:t>University of North Carolina</w:t>
      </w:r>
    </w:p>
    <w:p w14:paraId="75C64397" w14:textId="0528E59E" w:rsidR="00AE6A36" w:rsidRPr="00951781" w:rsidRDefault="001E6438" w:rsidP="00951781">
      <w:pPr>
        <w:jc w:val="center"/>
        <w:rPr>
          <w:b/>
        </w:rPr>
      </w:pPr>
      <w:hyperlink r:id="rId8" w:history="1">
        <w:r w:rsidR="00951781" w:rsidRPr="00951781">
          <w:rPr>
            <w:rStyle w:val="Hyperlink"/>
            <w:rFonts w:ascii="Calibri" w:eastAsia="Times New Roman" w:hAnsi="Calibri" w:cs="Times New Roman"/>
            <w:b/>
            <w:szCs w:val="16"/>
            <w:u w:val="none"/>
          </w:rPr>
          <w:t>camille.catlett@unc.edu</w:t>
        </w:r>
      </w:hyperlink>
    </w:p>
    <w:p w14:paraId="75C64398" w14:textId="77777777" w:rsidR="00AE6A36" w:rsidRPr="00402AAF" w:rsidRDefault="00AE6A36">
      <w:pPr>
        <w:rPr>
          <w:b/>
          <w:sz w:val="12"/>
        </w:rPr>
      </w:pPr>
    </w:p>
    <w:p w14:paraId="75C64399" w14:textId="351967DA" w:rsidR="005628FF" w:rsidRPr="005D02E8" w:rsidRDefault="005D02E8" w:rsidP="005D02E8">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line="292" w:lineRule="exact"/>
        <w:ind w:right="-20"/>
        <w:contextualSpacing/>
        <w:jc w:val="center"/>
        <w:rPr>
          <w:rFonts w:ascii="Arial Black" w:eastAsia="Calibri" w:hAnsi="Arial Black" w:cs="Britannic Bold"/>
          <w:b/>
          <w:color w:val="000000"/>
          <w:sz w:val="20"/>
          <w:szCs w:val="28"/>
        </w:rPr>
      </w:pPr>
      <w:r w:rsidRPr="005D02E8">
        <w:rPr>
          <w:rFonts w:ascii="Arial Black" w:eastAsia="Calibri" w:hAnsi="Arial Black" w:cs="Britannic Bold"/>
          <w:b/>
          <w:color w:val="000000"/>
          <w:sz w:val="20"/>
          <w:szCs w:val="28"/>
        </w:rPr>
        <w:t>National</w:t>
      </w:r>
      <w:r w:rsidR="00312CA4" w:rsidRPr="005D02E8">
        <w:rPr>
          <w:rFonts w:ascii="Arial Black" w:eastAsia="Calibri" w:hAnsi="Arial Black" w:cs="Britannic Bold"/>
          <w:b/>
          <w:color w:val="000000"/>
          <w:sz w:val="20"/>
          <w:szCs w:val="28"/>
        </w:rPr>
        <w:t xml:space="preserve"> </w:t>
      </w:r>
      <w:r>
        <w:rPr>
          <w:rFonts w:ascii="Arial Black" w:eastAsia="Calibri" w:hAnsi="Arial Black" w:cs="Britannic Bold"/>
          <w:b/>
          <w:color w:val="000000"/>
          <w:sz w:val="20"/>
          <w:szCs w:val="28"/>
        </w:rPr>
        <w:t>Trends and Transitions</w:t>
      </w:r>
    </w:p>
    <w:p w14:paraId="2A0D2F9F" w14:textId="77777777" w:rsidR="001F585B" w:rsidRPr="00D91F18" w:rsidRDefault="001F585B" w:rsidP="001F585B">
      <w:pPr>
        <w:keepNext/>
        <w:keepLines/>
        <w:outlineLvl w:val="0"/>
        <w:rPr>
          <w:rFonts w:ascii="Arial Black" w:eastAsia="Calibri" w:hAnsi="Arial Black" w:cs="Times New Roman"/>
          <w:sz w:val="20"/>
        </w:rPr>
      </w:pPr>
      <w:r w:rsidRPr="00D91F18">
        <w:rPr>
          <w:rFonts w:ascii="Arial Black" w:eastAsia="Times New Roman" w:hAnsi="Arial Black" w:cs="Times New Roman"/>
          <w:color w:val="365F91"/>
          <w:sz w:val="20"/>
          <w:szCs w:val="32"/>
        </w:rPr>
        <w:t>Transforming the Workforce for Children Birth Through Age 8: A Unifying Foundation</w:t>
      </w:r>
      <w:r w:rsidRPr="00D91F18">
        <w:rPr>
          <w:rFonts w:ascii="Arial Black" w:eastAsia="Calibri" w:hAnsi="Arial Black" w:cs="Times New Roman"/>
          <w:sz w:val="20"/>
        </w:rPr>
        <w:t xml:space="preserve"> </w:t>
      </w:r>
    </w:p>
    <w:p w14:paraId="56E8B37D" w14:textId="77777777" w:rsidR="001F585B" w:rsidRPr="00D91F18" w:rsidRDefault="001F585B" w:rsidP="001F585B">
      <w:pPr>
        <w:rPr>
          <w:rFonts w:ascii="Calibri" w:eastAsia="Calibri" w:hAnsi="Calibri" w:cs="Times New Roman"/>
          <w:i/>
        </w:rPr>
      </w:pPr>
      <w:r w:rsidRPr="00D91F18">
        <w:rPr>
          <w:rFonts w:ascii="Calibri" w:eastAsia="Calibri" w:hAnsi="Calibri" w:cs="Times New Roman"/>
          <w:i/>
        </w:rPr>
        <w:t xml:space="preserve">The Institute of Medicine’s seminal report supports building a workforce unified by the science of child </w:t>
      </w:r>
      <w:r>
        <w:rPr>
          <w:rFonts w:ascii="Calibri" w:eastAsia="Calibri" w:hAnsi="Calibri" w:cs="Times New Roman"/>
          <w:i/>
        </w:rPr>
        <w:t>d</w:t>
      </w:r>
      <w:r w:rsidRPr="00D91F18">
        <w:rPr>
          <w:rFonts w:ascii="Calibri" w:eastAsia="Calibri" w:hAnsi="Calibri" w:cs="Times New Roman"/>
          <w:i/>
        </w:rPr>
        <w:t>evelop</w:t>
      </w:r>
      <w:r>
        <w:rPr>
          <w:rFonts w:ascii="Calibri" w:eastAsia="Calibri" w:hAnsi="Calibri" w:cs="Times New Roman"/>
          <w:i/>
        </w:rPr>
        <w:t>-</w:t>
      </w:r>
      <w:proofErr w:type="spellStart"/>
      <w:r w:rsidRPr="00D91F18">
        <w:rPr>
          <w:rFonts w:ascii="Calibri" w:eastAsia="Calibri" w:hAnsi="Calibri" w:cs="Times New Roman"/>
          <w:i/>
        </w:rPr>
        <w:t>ment</w:t>
      </w:r>
      <w:proofErr w:type="spellEnd"/>
      <w:r w:rsidRPr="00D91F18">
        <w:rPr>
          <w:rFonts w:ascii="Calibri" w:eastAsia="Calibri" w:hAnsi="Calibri" w:cs="Times New Roman"/>
          <w:i/>
        </w:rPr>
        <w:t xml:space="preserve"> and early learning and the shared knowledge and competencies needed to provide consistent, high-quality support for the development and early learning of children from birth through age 8. </w:t>
      </w:r>
    </w:p>
    <w:p w14:paraId="383A9C40" w14:textId="77777777" w:rsidR="001F585B" w:rsidRPr="00D91F18" w:rsidRDefault="001F585B" w:rsidP="001F585B">
      <w:pPr>
        <w:rPr>
          <w:rFonts w:ascii="Calibri" w:eastAsia="Calibri" w:hAnsi="Calibri" w:cs="Times New Roman"/>
          <w:b/>
          <w:sz w:val="16"/>
        </w:rPr>
      </w:pPr>
      <w:r w:rsidRPr="00D91F18">
        <w:rPr>
          <w:rFonts w:ascii="Arial Black" w:eastAsia="Calibri" w:hAnsi="Arial Black" w:cs="Century Schoolbook"/>
          <w:iCs/>
          <w:color w:val="221E1F"/>
          <w:sz w:val="16"/>
          <w:szCs w:val="16"/>
        </w:rPr>
        <w:t>Source:</w:t>
      </w:r>
      <w:r w:rsidRPr="00D91F18">
        <w:rPr>
          <w:rFonts w:ascii="Arial Black" w:eastAsia="Calibri" w:hAnsi="Arial Black" w:cs="Times New Roman"/>
          <w:i/>
          <w:sz w:val="20"/>
        </w:rPr>
        <w:t xml:space="preserve"> </w:t>
      </w:r>
      <w:hyperlink r:id="rId9" w:history="1">
        <w:r w:rsidRPr="00D91F18">
          <w:rPr>
            <w:rFonts w:ascii="Calibri" w:eastAsia="Calibri" w:hAnsi="Calibri" w:cs="Times New Roman"/>
            <w:b/>
            <w:color w:val="0000FF"/>
            <w:sz w:val="16"/>
          </w:rPr>
          <w:t>http://www.nationalacademies.org/hmd/Reports/2015/Birth-To-Eight.aspx</w:t>
        </w:r>
      </w:hyperlink>
      <w:r w:rsidRPr="00D91F18">
        <w:rPr>
          <w:rFonts w:ascii="Calibri" w:eastAsia="Calibri" w:hAnsi="Calibri" w:cs="Times New Roman"/>
          <w:b/>
          <w:sz w:val="16"/>
        </w:rPr>
        <w:t xml:space="preserve"> </w:t>
      </w:r>
    </w:p>
    <w:p w14:paraId="3B8914EC" w14:textId="77777777" w:rsidR="001F585B" w:rsidRPr="003F478A" w:rsidRDefault="001F585B" w:rsidP="001F585B">
      <w:pPr>
        <w:pStyle w:val="NormalWeb"/>
        <w:spacing w:before="0" w:beforeAutospacing="0" w:after="0" w:afterAutospacing="0"/>
        <w:ind w:left="360"/>
        <w:rPr>
          <w:rFonts w:asciiTheme="minorHAnsi" w:eastAsiaTheme="minorHAnsi" w:hAnsiTheme="minorHAnsi" w:cstheme="minorBidi"/>
          <w:sz w:val="16"/>
          <w:szCs w:val="22"/>
        </w:rPr>
      </w:pPr>
    </w:p>
    <w:p w14:paraId="14F47B20" w14:textId="77777777" w:rsidR="001F585B" w:rsidRPr="00D91F18" w:rsidRDefault="001F585B" w:rsidP="001F585B">
      <w:pPr>
        <w:rPr>
          <w:rFonts w:ascii="Arial Black" w:eastAsia="Times New Roman" w:hAnsi="Arial Black" w:cs="Times New Roman"/>
          <w:color w:val="365F91"/>
          <w:sz w:val="20"/>
          <w:szCs w:val="32"/>
        </w:rPr>
      </w:pPr>
      <w:r w:rsidRPr="00D91F18">
        <w:rPr>
          <w:rFonts w:ascii="Arial Black" w:eastAsia="Times New Roman" w:hAnsi="Arial Black" w:cs="Times New Roman"/>
          <w:color w:val="365F91"/>
          <w:sz w:val="20"/>
          <w:szCs w:val="32"/>
        </w:rPr>
        <w:t>Power to the Profession</w:t>
      </w:r>
    </w:p>
    <w:p w14:paraId="022448DB" w14:textId="77777777" w:rsidR="001F585B" w:rsidRPr="00D91F18" w:rsidRDefault="001F585B" w:rsidP="001F585B">
      <w:pPr>
        <w:rPr>
          <w:rFonts w:ascii="Calibri" w:eastAsia="Calibri" w:hAnsi="Calibri" w:cs="Times New Roman"/>
          <w:i/>
        </w:rPr>
      </w:pPr>
      <w:r w:rsidRPr="00D91F18">
        <w:rPr>
          <w:rFonts w:ascii="Calibri" w:eastAsia="Calibri" w:hAnsi="Calibri" w:cs="Times New Roman"/>
          <w:i/>
        </w:rPr>
        <w:t>Power to the Profession is a national collaboration to define the early childhood profession by establishing a unify</w:t>
      </w:r>
      <w:r>
        <w:rPr>
          <w:rFonts w:ascii="Calibri" w:eastAsia="Calibri" w:hAnsi="Calibri" w:cs="Times New Roman"/>
          <w:i/>
        </w:rPr>
        <w:t>-</w:t>
      </w:r>
      <w:proofErr w:type="spellStart"/>
      <w:r w:rsidRPr="00D91F18">
        <w:rPr>
          <w:rFonts w:ascii="Calibri" w:eastAsia="Calibri" w:hAnsi="Calibri" w:cs="Times New Roman"/>
          <w:i/>
        </w:rPr>
        <w:t>ing</w:t>
      </w:r>
      <w:proofErr w:type="spellEnd"/>
      <w:r w:rsidRPr="00D91F18">
        <w:rPr>
          <w:rFonts w:ascii="Calibri" w:eastAsia="Calibri" w:hAnsi="Calibri" w:cs="Times New Roman"/>
          <w:i/>
        </w:rPr>
        <w:t xml:space="preserve"> framework for career pathways, knowledge, and competencies, qualifications, standards, and compensation.</w:t>
      </w:r>
    </w:p>
    <w:p w14:paraId="450B9EF3" w14:textId="77777777" w:rsidR="001F585B" w:rsidRPr="00D91F18" w:rsidRDefault="001F585B" w:rsidP="001F585B">
      <w:pPr>
        <w:rPr>
          <w:rFonts w:ascii="Arial Black" w:eastAsia="Calibri" w:hAnsi="Arial Black" w:cs="Times New Roman"/>
          <w:sz w:val="20"/>
        </w:rPr>
      </w:pPr>
      <w:r w:rsidRPr="00D91F18">
        <w:rPr>
          <w:rFonts w:ascii="Arial Black" w:eastAsia="Calibri" w:hAnsi="Arial Black" w:cs="Century Schoolbook"/>
          <w:iCs/>
          <w:color w:val="221E1F"/>
          <w:sz w:val="16"/>
          <w:szCs w:val="16"/>
        </w:rPr>
        <w:t>Sources</w:t>
      </w:r>
      <w:r w:rsidRPr="00D91F18">
        <w:rPr>
          <w:rFonts w:ascii="Arial Black" w:eastAsia="Calibri" w:hAnsi="Arial Black" w:cs="Times New Roman"/>
          <w:sz w:val="20"/>
        </w:rPr>
        <w:t xml:space="preserve">: </w:t>
      </w:r>
      <w:hyperlink r:id="rId10" w:history="1">
        <w:r w:rsidRPr="00D91F18">
          <w:rPr>
            <w:rFonts w:ascii="Calibri" w:eastAsia="Calibri" w:hAnsi="Calibri" w:cs="Calibri"/>
            <w:b/>
            <w:color w:val="0000FF"/>
            <w:sz w:val="16"/>
          </w:rPr>
          <w:t>https://www.naeyc.org/our-work/initiatives/profession</w:t>
        </w:r>
      </w:hyperlink>
      <w:r w:rsidRPr="00D91F18">
        <w:rPr>
          <w:rFonts w:ascii="Arial Black" w:eastAsia="Calibri" w:hAnsi="Arial Black" w:cs="Times New Roman"/>
          <w:sz w:val="20"/>
        </w:rPr>
        <w:t xml:space="preserve">  </w:t>
      </w:r>
    </w:p>
    <w:p w14:paraId="69DD9C41" w14:textId="77777777" w:rsidR="001F585B" w:rsidRPr="00D91F18" w:rsidRDefault="001E6438" w:rsidP="001F585B">
      <w:pPr>
        <w:rPr>
          <w:rFonts w:ascii="Arial Black" w:eastAsia="Calibri" w:hAnsi="Arial Black" w:cs="Times New Roman"/>
          <w:sz w:val="20"/>
        </w:rPr>
      </w:pPr>
      <w:hyperlink r:id="rId11" w:history="1">
        <w:r w:rsidR="001F585B" w:rsidRPr="00D91F18">
          <w:rPr>
            <w:rFonts w:ascii="Calibri" w:eastAsia="Calibri" w:hAnsi="Calibri" w:cs="Calibri"/>
            <w:b/>
            <w:color w:val="0000FF"/>
            <w:sz w:val="16"/>
          </w:rPr>
          <w:t>https://www.naeyc.org/our-work/initiatives/profession/decision-cycles/power-profession-decision-cycles-3456</w:t>
        </w:r>
      </w:hyperlink>
      <w:r w:rsidR="001F585B" w:rsidRPr="00D91F18">
        <w:rPr>
          <w:rFonts w:ascii="Calibri" w:eastAsia="Calibri" w:hAnsi="Calibri" w:cs="Calibri"/>
          <w:b/>
          <w:sz w:val="16"/>
        </w:rPr>
        <w:t xml:space="preserve"> </w:t>
      </w:r>
    </w:p>
    <w:p w14:paraId="75C0617F" w14:textId="77777777" w:rsidR="001F585B" w:rsidRPr="003F478A" w:rsidRDefault="001F585B" w:rsidP="001F585B">
      <w:pPr>
        <w:rPr>
          <w:rFonts w:eastAsia="Times New Roman" w:cstheme="minorHAnsi"/>
          <w:color w:val="365F91"/>
          <w:sz w:val="16"/>
          <w:szCs w:val="32"/>
        </w:rPr>
      </w:pPr>
    </w:p>
    <w:p w14:paraId="706936F3" w14:textId="17FB5A46" w:rsidR="001F585B" w:rsidRPr="00D91F18" w:rsidRDefault="001F585B" w:rsidP="001F585B">
      <w:pPr>
        <w:rPr>
          <w:rFonts w:ascii="Arial Black" w:eastAsia="Times New Roman" w:hAnsi="Arial Black" w:cs="Times New Roman"/>
          <w:color w:val="365F91"/>
          <w:sz w:val="20"/>
          <w:szCs w:val="32"/>
        </w:rPr>
      </w:pPr>
      <w:r w:rsidRPr="00D91F18">
        <w:rPr>
          <w:rFonts w:ascii="Arial Black" w:eastAsia="Times New Roman" w:hAnsi="Arial Black" w:cs="Times New Roman"/>
          <w:color w:val="365F91"/>
          <w:sz w:val="20"/>
          <w:szCs w:val="32"/>
        </w:rPr>
        <w:t>Draft Professional Standards and Competencies for Early Childhood Educators</w:t>
      </w:r>
    </w:p>
    <w:p w14:paraId="04CEDF66" w14:textId="77777777" w:rsidR="00BB1888" w:rsidRDefault="00BB1888" w:rsidP="00BB1888">
      <w:pPr>
        <w:rPr>
          <w:rFonts w:ascii="Calibri" w:eastAsia="Calibri" w:hAnsi="Calibri" w:cs="Times New Roman"/>
          <w:i/>
        </w:rPr>
      </w:pPr>
      <w:r w:rsidRPr="00D91F18">
        <w:rPr>
          <w:rFonts w:ascii="Calibri" w:eastAsia="Calibri" w:hAnsi="Calibri" w:cs="Times New Roman"/>
          <w:i/>
        </w:rPr>
        <w:t xml:space="preserve">This site has an archive with the first of draft of revised standards/competencies that are currently being </w:t>
      </w:r>
      <w:r>
        <w:rPr>
          <w:rFonts w:ascii="Calibri" w:eastAsia="Calibri" w:hAnsi="Calibri" w:cs="Times New Roman"/>
          <w:i/>
        </w:rPr>
        <w:t>d</w:t>
      </w:r>
      <w:r w:rsidRPr="00D91F18">
        <w:rPr>
          <w:rFonts w:ascii="Calibri" w:eastAsia="Calibri" w:hAnsi="Calibri" w:cs="Times New Roman"/>
          <w:i/>
        </w:rPr>
        <w:t xml:space="preserve">eveloped </w:t>
      </w:r>
      <w:r>
        <w:rPr>
          <w:rFonts w:ascii="Calibri" w:eastAsia="Calibri" w:hAnsi="Calibri" w:cs="Times New Roman"/>
          <w:i/>
        </w:rPr>
        <w:t>in response to Power to the Profession</w:t>
      </w:r>
      <w:r w:rsidRPr="00D91F18">
        <w:rPr>
          <w:rFonts w:ascii="Calibri" w:eastAsia="Calibri" w:hAnsi="Calibri" w:cs="Times New Roman"/>
          <w:i/>
        </w:rPr>
        <w:t>.</w:t>
      </w:r>
      <w:r>
        <w:rPr>
          <w:rFonts w:ascii="Calibri" w:eastAsia="Calibri" w:hAnsi="Calibri" w:cs="Times New Roman"/>
          <w:i/>
        </w:rPr>
        <w:t xml:space="preserve"> The document includes examples for each standard of what might be expected for a student at CDA, associate, and bachelors-degree levels. The 2</w:t>
      </w:r>
      <w:r w:rsidRPr="004510F2">
        <w:rPr>
          <w:rFonts w:ascii="Calibri" w:eastAsia="Calibri" w:hAnsi="Calibri" w:cs="Times New Roman"/>
          <w:i/>
          <w:vertAlign w:val="superscript"/>
        </w:rPr>
        <w:t>nd</w:t>
      </w:r>
      <w:r>
        <w:rPr>
          <w:rFonts w:ascii="Calibri" w:eastAsia="Calibri" w:hAnsi="Calibri" w:cs="Times New Roman"/>
          <w:i/>
        </w:rPr>
        <w:t xml:space="preserve"> draft is available for public comment through June 14.</w:t>
      </w:r>
      <w:r w:rsidRPr="00D91F18">
        <w:rPr>
          <w:rFonts w:ascii="Calibri" w:eastAsia="Calibri" w:hAnsi="Calibri" w:cs="Times New Roman"/>
          <w:i/>
        </w:rPr>
        <w:t xml:space="preserve"> </w:t>
      </w:r>
    </w:p>
    <w:p w14:paraId="0F5D0D8C" w14:textId="77777777" w:rsidR="00BB1888" w:rsidRPr="00D91F18" w:rsidRDefault="00BB1888" w:rsidP="00BB1888">
      <w:pPr>
        <w:rPr>
          <w:rFonts w:ascii="Calibri" w:eastAsia="Times New Roman" w:hAnsi="Calibri" w:cs="Calibri"/>
          <w:b/>
          <w:color w:val="365F91"/>
          <w:sz w:val="16"/>
          <w:szCs w:val="32"/>
        </w:rPr>
      </w:pPr>
      <w:r w:rsidRPr="00D91F18">
        <w:rPr>
          <w:rFonts w:ascii="Arial Black" w:eastAsia="Calibri" w:hAnsi="Arial Black" w:cs="Century Schoolbook"/>
          <w:iCs/>
          <w:color w:val="221E1F"/>
          <w:sz w:val="16"/>
          <w:szCs w:val="16"/>
        </w:rPr>
        <w:t xml:space="preserve">Source: </w:t>
      </w:r>
      <w:hyperlink r:id="rId12" w:history="1">
        <w:r w:rsidRPr="004510F2">
          <w:rPr>
            <w:rFonts w:ascii="Calibri" w:eastAsia="Times New Roman" w:hAnsi="Calibri" w:cs="Calibri"/>
            <w:b/>
            <w:color w:val="0000FF"/>
            <w:sz w:val="20"/>
            <w:szCs w:val="32"/>
          </w:rPr>
          <w:t>https://www.naeyc.org/resources/position-statements/draft-professional-standards-competencies</w:t>
        </w:r>
      </w:hyperlink>
    </w:p>
    <w:p w14:paraId="0AC9AE20" w14:textId="77777777" w:rsidR="001F585B" w:rsidRPr="003F478A" w:rsidRDefault="001F585B" w:rsidP="001F585B">
      <w:pPr>
        <w:rPr>
          <w:rFonts w:ascii="Calibri" w:eastAsia="Times New Roman" w:hAnsi="Calibri" w:cs="Calibri"/>
          <w:color w:val="365F91"/>
          <w:sz w:val="16"/>
          <w:szCs w:val="24"/>
        </w:rPr>
      </w:pPr>
    </w:p>
    <w:p w14:paraId="7629B120" w14:textId="0FAAD459" w:rsidR="001F585B" w:rsidRPr="00BB1888" w:rsidRDefault="001F585B" w:rsidP="001F585B">
      <w:pPr>
        <w:outlineLvl w:val="0"/>
        <w:rPr>
          <w:rFonts w:ascii="Arial Black" w:eastAsia="Times New Roman" w:hAnsi="Arial Black" w:cs="Times New Roman"/>
          <w:color w:val="365F91"/>
          <w:sz w:val="20"/>
          <w:szCs w:val="32"/>
        </w:rPr>
      </w:pPr>
      <w:r w:rsidRPr="00BB1888">
        <w:rPr>
          <w:rFonts w:ascii="Arial Black" w:eastAsia="Times New Roman" w:hAnsi="Arial Black" w:cs="Times New Roman"/>
          <w:color w:val="365F91"/>
          <w:sz w:val="20"/>
          <w:szCs w:val="32"/>
        </w:rPr>
        <w:t xml:space="preserve">NAEYC Position Statement: Advancing Equity in Early Childhood Education </w:t>
      </w:r>
    </w:p>
    <w:p w14:paraId="387D1EF9" w14:textId="77777777" w:rsidR="001F585B" w:rsidRPr="00236BEB" w:rsidRDefault="001F585B" w:rsidP="001F585B">
      <w:pPr>
        <w:rPr>
          <w:b/>
        </w:rPr>
      </w:pPr>
      <w:r w:rsidRPr="00BB1888">
        <w:rPr>
          <w:rFonts w:ascii="Calibri" w:eastAsia="Calibri" w:hAnsi="Calibri" w:cs="Times New Roman"/>
          <w:i/>
        </w:rPr>
        <w:t xml:space="preserve">Although equity and diversity are referenced in our NAEYS’S core values and beliefs, they have never had a separate position statement focused solely on these issues. The first draft of this new resource was out for national comment until April 5. </w:t>
      </w:r>
      <w:r w:rsidRPr="00BB1888">
        <w:rPr>
          <w:rFonts w:ascii="Arial Black" w:eastAsia="Calibri" w:hAnsi="Arial Black" w:cs="Century Schoolbook"/>
          <w:iCs/>
          <w:color w:val="221E1F"/>
          <w:sz w:val="16"/>
          <w:szCs w:val="16"/>
        </w:rPr>
        <w:t xml:space="preserve">Source: </w:t>
      </w:r>
      <w:hyperlink r:id="rId13" w:history="1">
        <w:r w:rsidRPr="00BB1888">
          <w:rPr>
            <w:rStyle w:val="Hyperlink"/>
            <w:b/>
            <w:sz w:val="16"/>
            <w:u w:val="none"/>
          </w:rPr>
          <w:t>https://www.naeyc.org/resources/position-statements/equity-draft</w:t>
        </w:r>
      </w:hyperlink>
      <w:r w:rsidRPr="00236BEB">
        <w:rPr>
          <w:b/>
        </w:rPr>
        <w:t xml:space="preserve"> </w:t>
      </w:r>
    </w:p>
    <w:p w14:paraId="331A0429" w14:textId="77777777" w:rsidR="001F585B" w:rsidRDefault="001F585B" w:rsidP="001F585B">
      <w:pPr>
        <w:rPr>
          <w:b/>
          <w:sz w:val="12"/>
        </w:rPr>
      </w:pPr>
    </w:p>
    <w:p w14:paraId="55ACFB5F" w14:textId="1599F3E4" w:rsidR="000A292E" w:rsidRPr="005D02E8" w:rsidRDefault="005D02E8" w:rsidP="005D02E8">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line="292" w:lineRule="exact"/>
        <w:ind w:right="-20"/>
        <w:contextualSpacing/>
        <w:jc w:val="center"/>
        <w:rPr>
          <w:rFonts w:ascii="Arial Black" w:eastAsia="Calibri" w:hAnsi="Arial Black" w:cs="Britannic Bold"/>
          <w:b/>
          <w:color w:val="000000"/>
          <w:sz w:val="20"/>
          <w:szCs w:val="28"/>
        </w:rPr>
      </w:pPr>
      <w:bookmarkStart w:id="1" w:name="_Hlk7962485"/>
      <w:r>
        <w:rPr>
          <w:rFonts w:ascii="Arial Black" w:eastAsia="Calibri" w:hAnsi="Arial Black" w:cs="Britannic Bold"/>
          <w:b/>
          <w:color w:val="000000"/>
          <w:sz w:val="20"/>
          <w:szCs w:val="28"/>
        </w:rPr>
        <w:t>New Resources for Your Inclusion Toolbox</w:t>
      </w:r>
    </w:p>
    <w:bookmarkEnd w:id="1"/>
    <w:p w14:paraId="15603BFE" w14:textId="77777777" w:rsidR="005D02E8" w:rsidRDefault="005D02E8" w:rsidP="005D02E8">
      <w:pPr>
        <w:rPr>
          <w:rFonts w:eastAsia="Calibri" w:cs="Britannic Bold"/>
          <w:color w:val="000000"/>
          <w:sz w:val="8"/>
          <w:szCs w:val="28"/>
        </w:rPr>
      </w:pPr>
    </w:p>
    <w:p w14:paraId="4291D0C3" w14:textId="77777777" w:rsidR="003766B5" w:rsidRPr="00C70CED" w:rsidRDefault="00A97CF4" w:rsidP="004E2A16">
      <w:pPr>
        <w:rPr>
          <w:b/>
          <w:sz w:val="24"/>
        </w:rPr>
      </w:pPr>
      <w:r w:rsidRPr="00C70CED">
        <w:rPr>
          <w:b/>
          <w:sz w:val="24"/>
        </w:rPr>
        <w:t>Advocate’s Guide to Transforming Special Education</w:t>
      </w:r>
      <w:r w:rsidR="00F25C52" w:rsidRPr="00C70CED">
        <w:rPr>
          <w:b/>
          <w:sz w:val="24"/>
        </w:rPr>
        <w:t xml:space="preserve">  </w:t>
      </w:r>
    </w:p>
    <w:p w14:paraId="7FB200B2" w14:textId="35A62979" w:rsidR="00A97CF4" w:rsidRDefault="001E6438" w:rsidP="004E2A16">
      <w:pPr>
        <w:rPr>
          <w:b/>
        </w:rPr>
      </w:pPr>
      <w:hyperlink r:id="rId14" w:history="1">
        <w:r w:rsidR="00F25C52" w:rsidRPr="003766B5">
          <w:rPr>
            <w:rStyle w:val="Hyperlink"/>
            <w:b/>
            <w:u w:val="none"/>
          </w:rPr>
          <w:t>https://reports.innovateschools.org/wp-content/uploads/2018/05/An-Advocates-Guide-to-Transforming-Special-Education.pdf</w:t>
        </w:r>
      </w:hyperlink>
      <w:r w:rsidR="00F25C52" w:rsidRPr="003766B5">
        <w:rPr>
          <w:b/>
        </w:rPr>
        <w:t xml:space="preserve"> </w:t>
      </w:r>
    </w:p>
    <w:p w14:paraId="0632913C" w14:textId="77777777" w:rsidR="00A97CF4" w:rsidRPr="006572FF" w:rsidRDefault="00A97CF4" w:rsidP="004E2A16">
      <w:pPr>
        <w:rPr>
          <w:b/>
          <w:sz w:val="16"/>
        </w:rPr>
      </w:pPr>
    </w:p>
    <w:p w14:paraId="22A663A1" w14:textId="6C66AF5C" w:rsidR="002A1672" w:rsidRPr="00C70CED" w:rsidRDefault="002A1672" w:rsidP="004E2A16">
      <w:pPr>
        <w:rPr>
          <w:rFonts w:cstheme="minorHAnsi"/>
          <w:b/>
          <w:sz w:val="24"/>
          <w:szCs w:val="24"/>
        </w:rPr>
      </w:pPr>
      <w:r w:rsidRPr="00C70CED">
        <w:rPr>
          <w:rFonts w:cstheme="minorHAnsi"/>
          <w:b/>
          <w:sz w:val="24"/>
          <w:szCs w:val="24"/>
        </w:rPr>
        <w:t>Resources to Support Inclusive Practices</w:t>
      </w:r>
      <w:r w:rsidR="006572FF" w:rsidRPr="00C70CED">
        <w:rPr>
          <w:rFonts w:cstheme="minorHAnsi"/>
          <w:b/>
          <w:sz w:val="24"/>
          <w:szCs w:val="24"/>
          <w:vertAlign w:val="superscript"/>
        </w:rPr>
        <w:t>1</w:t>
      </w:r>
    </w:p>
    <w:p w14:paraId="7D6F2D7A" w14:textId="77777777" w:rsidR="003F594C" w:rsidRPr="003F594C" w:rsidRDefault="003F594C" w:rsidP="003F594C">
      <w:pPr>
        <w:ind w:firstLine="720"/>
        <w:rPr>
          <w:rFonts w:cstheme="minorHAnsi"/>
          <w:sz w:val="8"/>
          <w:szCs w:val="24"/>
        </w:rPr>
      </w:pPr>
    </w:p>
    <w:p w14:paraId="6B50C86A" w14:textId="2CF99252" w:rsidR="002A1672" w:rsidRPr="009E243E" w:rsidRDefault="009E243E" w:rsidP="003F594C">
      <w:pPr>
        <w:ind w:firstLine="720"/>
        <w:rPr>
          <w:rFonts w:ascii="Arial Black" w:hAnsi="Arial Black" w:cstheme="minorHAnsi"/>
          <w:sz w:val="16"/>
          <w:szCs w:val="24"/>
        </w:rPr>
      </w:pPr>
      <w:r w:rsidRPr="009E243E">
        <w:rPr>
          <w:rFonts w:ascii="Arial Black" w:hAnsi="Arial Black" w:cstheme="minorHAnsi"/>
          <w:sz w:val="16"/>
          <w:szCs w:val="24"/>
        </w:rPr>
        <w:t>EVIDENCE</w:t>
      </w:r>
    </w:p>
    <w:p w14:paraId="14830115" w14:textId="5EC881AB" w:rsidR="0091221B" w:rsidRPr="000D0A14" w:rsidRDefault="0091221B" w:rsidP="003F594C">
      <w:pPr>
        <w:ind w:left="257" w:hanging="257"/>
        <w:rPr>
          <w:rFonts w:eastAsia="Times New Roman" w:cs="Arial"/>
          <w:bCs/>
          <w:color w:val="FF0000"/>
          <w:sz w:val="24"/>
          <w:szCs w:val="20"/>
        </w:rPr>
      </w:pPr>
      <w:r w:rsidRPr="000D0A14">
        <w:rPr>
          <w:rFonts w:cs="Arial"/>
          <w:iCs/>
          <w:sz w:val="24"/>
        </w:rPr>
        <w:t xml:space="preserve">Fact Sheet of Research on Preschool Inclusion </w:t>
      </w:r>
    </w:p>
    <w:p w14:paraId="00CD3EBA" w14:textId="77777777" w:rsidR="0091221B" w:rsidRPr="00744D0F" w:rsidRDefault="001E6438" w:rsidP="003F594C">
      <w:pPr>
        <w:rPr>
          <w:b/>
          <w:sz w:val="20"/>
        </w:rPr>
      </w:pPr>
      <w:hyperlink r:id="rId15" w:history="1">
        <w:r w:rsidR="0091221B" w:rsidRPr="00744D0F">
          <w:rPr>
            <w:rStyle w:val="Hyperlink"/>
            <w:b/>
            <w:sz w:val="20"/>
            <w:u w:val="none"/>
          </w:rPr>
          <w:t>http://ectacenter.org/~pdfs/topics/inclusion/research/Research_Supporting_Preschool_Inclusion_R.pdf</w:t>
        </w:r>
      </w:hyperlink>
    </w:p>
    <w:p w14:paraId="5CEC0C9B" w14:textId="77777777" w:rsidR="0091221B" w:rsidRDefault="0091221B" w:rsidP="003F594C">
      <w:pPr>
        <w:rPr>
          <w:rStyle w:val="Hyperlink"/>
          <w:rFonts w:eastAsia="Times New Roman"/>
          <w:b/>
          <w:sz w:val="20"/>
          <w:szCs w:val="24"/>
          <w:u w:val="none"/>
        </w:rPr>
      </w:pPr>
      <w:r w:rsidRPr="00471C1F">
        <w:rPr>
          <w:rFonts w:eastAsia="Times New Roman"/>
          <w:i/>
          <w:sz w:val="20"/>
          <w:szCs w:val="24"/>
        </w:rPr>
        <w:t>T</w:t>
      </w:r>
      <w:r w:rsidRPr="006E3950">
        <w:rPr>
          <w:rFonts w:eastAsia="Times New Roman"/>
          <w:i/>
          <w:sz w:val="20"/>
          <w:szCs w:val="24"/>
        </w:rPr>
        <w:t xml:space="preserve">his </w:t>
      </w:r>
      <w:r>
        <w:rPr>
          <w:rFonts w:eastAsia="Times New Roman"/>
          <w:i/>
          <w:sz w:val="20"/>
          <w:szCs w:val="24"/>
        </w:rPr>
        <w:t>6</w:t>
      </w:r>
      <w:r w:rsidRPr="00471C1F">
        <w:rPr>
          <w:rFonts w:eastAsia="Times New Roman"/>
          <w:i/>
          <w:sz w:val="20"/>
          <w:szCs w:val="24"/>
        </w:rPr>
        <w:t>-page</w:t>
      </w:r>
      <w:r>
        <w:rPr>
          <w:rFonts w:eastAsia="Times New Roman"/>
          <w:i/>
          <w:sz w:val="20"/>
          <w:szCs w:val="24"/>
        </w:rPr>
        <w:t xml:space="preserve"> </w:t>
      </w:r>
      <w:r w:rsidRPr="006E3950">
        <w:rPr>
          <w:rFonts w:eastAsia="Times New Roman"/>
          <w:i/>
          <w:sz w:val="20"/>
          <w:szCs w:val="24"/>
        </w:rPr>
        <w:t>handout presents 11 evidence-based facts that support inclusive practices in the preschool</w:t>
      </w:r>
      <w:r w:rsidRPr="00471C1F">
        <w:rPr>
          <w:rFonts w:eastAsia="Times New Roman"/>
          <w:i/>
          <w:sz w:val="20"/>
          <w:szCs w:val="24"/>
        </w:rPr>
        <w:t xml:space="preserve">. </w:t>
      </w:r>
    </w:p>
    <w:p w14:paraId="65A7A81F" w14:textId="1412C94B" w:rsidR="009E243E" w:rsidRPr="003F594C" w:rsidRDefault="009E243E" w:rsidP="004E2A16">
      <w:pPr>
        <w:rPr>
          <w:rFonts w:cstheme="minorHAnsi"/>
          <w:sz w:val="8"/>
          <w:szCs w:val="24"/>
        </w:rPr>
      </w:pPr>
    </w:p>
    <w:p w14:paraId="17C235D7" w14:textId="04AEFB35" w:rsidR="003F594C" w:rsidRPr="000D0A14" w:rsidRDefault="003F594C" w:rsidP="003F594C">
      <w:pPr>
        <w:tabs>
          <w:tab w:val="left" w:pos="252"/>
        </w:tabs>
        <w:autoSpaceDE w:val="0"/>
        <w:autoSpaceDN w:val="0"/>
        <w:adjustRightInd w:val="0"/>
        <w:rPr>
          <w:rFonts w:cs="Arial"/>
          <w:color w:val="FF0000"/>
          <w:sz w:val="24"/>
        </w:rPr>
      </w:pPr>
      <w:r w:rsidRPr="000D0A14">
        <w:rPr>
          <w:sz w:val="24"/>
        </w:rPr>
        <w:t xml:space="preserve">Research Synthesis Points on Practices That Support Inclusion </w:t>
      </w:r>
    </w:p>
    <w:p w14:paraId="1098368D" w14:textId="77777777" w:rsidR="003F594C" w:rsidRPr="00EB6EFB" w:rsidRDefault="001E6438" w:rsidP="003F594C">
      <w:pPr>
        <w:rPr>
          <w:rFonts w:cs="Arial"/>
          <w:sz w:val="19"/>
          <w:szCs w:val="19"/>
        </w:rPr>
      </w:pPr>
      <w:hyperlink r:id="rId16" w:history="1">
        <w:r w:rsidR="003F594C" w:rsidRPr="00EB6EFB">
          <w:rPr>
            <w:b/>
            <w:color w:val="0000FF"/>
            <w:sz w:val="19"/>
            <w:szCs w:val="19"/>
          </w:rPr>
          <w:t>http://npdci.fpg.unc.edu/sites/npdci.fpg.unc.edu/files/resources/NPDCI-ResearchSynthesisPointsInclusivePractices-2011_0.pdf</w:t>
        </w:r>
      </w:hyperlink>
    </w:p>
    <w:p w14:paraId="436E39CB" w14:textId="766CE93D" w:rsidR="009E243E" w:rsidRPr="009E243E" w:rsidRDefault="003F594C" w:rsidP="00772E32">
      <w:pPr>
        <w:ind w:left="720"/>
        <w:rPr>
          <w:rFonts w:ascii="Arial Black" w:hAnsi="Arial Black" w:cstheme="minorHAnsi"/>
          <w:sz w:val="16"/>
          <w:szCs w:val="24"/>
        </w:rPr>
      </w:pPr>
      <w:r w:rsidRPr="00AC73E1">
        <w:rPr>
          <w:rFonts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w:t>
      </w:r>
      <w:r>
        <w:rPr>
          <w:rFonts w:cs="Arial"/>
          <w:i/>
          <w:sz w:val="20"/>
          <w:szCs w:val="18"/>
        </w:rPr>
        <w:t>-</w:t>
      </w:r>
      <w:r w:rsidRPr="00AC73E1">
        <w:rPr>
          <w:rFonts w:cs="Arial"/>
          <w:i/>
          <w:sz w:val="20"/>
          <w:szCs w:val="18"/>
        </w:rPr>
        <w:t xml:space="preserve"> quality early childhood inclusion as described in the joint position statement</w:t>
      </w:r>
      <w:r>
        <w:rPr>
          <w:rFonts w:cs="Arial"/>
          <w:i/>
          <w:sz w:val="20"/>
          <w:szCs w:val="18"/>
        </w:rPr>
        <w:t>.</w:t>
      </w:r>
      <w:r>
        <w:rPr>
          <w:rFonts w:eastAsia="Times New Roman"/>
          <w:color w:val="1F497D"/>
        </w:rPr>
        <w:br w:type="column"/>
      </w:r>
      <w:r w:rsidR="009E243E" w:rsidRPr="009E243E">
        <w:rPr>
          <w:rFonts w:ascii="Arial Black" w:hAnsi="Arial Black" w:cstheme="minorHAnsi"/>
          <w:sz w:val="16"/>
          <w:szCs w:val="24"/>
        </w:rPr>
        <w:lastRenderedPageBreak/>
        <w:t>PRINT</w:t>
      </w:r>
    </w:p>
    <w:p w14:paraId="1A154932" w14:textId="33ADA824" w:rsidR="00772E32" w:rsidRPr="000D0A14" w:rsidRDefault="00772E32" w:rsidP="00772E32">
      <w:pPr>
        <w:rPr>
          <w:rFonts w:eastAsia="Times New Roman" w:cs="Tahoma"/>
          <w:bCs/>
          <w:color w:val="FF0000"/>
          <w:sz w:val="24"/>
          <w:szCs w:val="24"/>
        </w:rPr>
      </w:pPr>
      <w:r w:rsidRPr="000D0A14">
        <w:rPr>
          <w:rFonts w:eastAsia="Times New Roman" w:cs="Tahoma"/>
          <w:bCs/>
          <w:sz w:val="24"/>
          <w:szCs w:val="24"/>
        </w:rPr>
        <w:t xml:space="preserve">Classroom Routine Support Guides </w:t>
      </w:r>
    </w:p>
    <w:p w14:paraId="3DA5C0E8" w14:textId="77777777" w:rsidR="00772E32" w:rsidRPr="009A089E" w:rsidRDefault="00772E32" w:rsidP="00772E32">
      <w:pPr>
        <w:rPr>
          <w:rFonts w:eastAsia="Times New Roman" w:cs="Arial"/>
          <w:i/>
          <w:szCs w:val="20"/>
        </w:rPr>
      </w:pPr>
      <w:r w:rsidRPr="009A089E">
        <w:rPr>
          <w:rFonts w:eastAsia="Times New Roman" w:cs="Tahoma"/>
          <w:bCs/>
          <w:i/>
          <w:color w:val="000000"/>
          <w:szCs w:val="20"/>
        </w:rPr>
        <w:t xml:space="preserve">These guides were developed to assist teachers and caregivers </w:t>
      </w:r>
      <w:r w:rsidRPr="009A089E">
        <w:rPr>
          <w:rFonts w:eastAsia="Times New Roman" w:cs="Arial"/>
          <w:i/>
          <w:szCs w:val="20"/>
        </w:rPr>
        <w:t xml:space="preserve">in problem-solving a plan to support young children who are having challenging behavior. Organized around the routines/activities that would typically occur in an early childhood setting, the guide is designed to help early childhood professionals understand the purpose or meaning of the behavior, and to support them to select strategies to make the behavior irrelevant, inefficient, and ineffective. They can do this by selecting prevention strategies, teaching new skills, and changing responses to eliminate or minimize the challenging behavior, examples for which are provided in the guides. </w:t>
      </w:r>
    </w:p>
    <w:p w14:paraId="1AE65189" w14:textId="77777777" w:rsidR="00772E32" w:rsidRPr="004A2403" w:rsidRDefault="00772E32" w:rsidP="00772E32">
      <w:pPr>
        <w:pStyle w:val="ListParagraph"/>
        <w:numPr>
          <w:ilvl w:val="0"/>
          <w:numId w:val="3"/>
        </w:numPr>
        <w:rPr>
          <w:rFonts w:eastAsia="Times New Roman" w:cs="Tahoma"/>
          <w:b/>
          <w:bCs/>
          <w:color w:val="000000" w:themeColor="text1"/>
          <w:sz w:val="20"/>
          <w:szCs w:val="24"/>
        </w:rPr>
      </w:pPr>
      <w:r w:rsidRPr="004A2403">
        <w:rPr>
          <w:rFonts w:eastAsia="Times New Roman" w:cs="Tahoma"/>
          <w:b/>
          <w:bCs/>
        </w:rPr>
        <w:t xml:space="preserve">Routine-Based Support Guide </w:t>
      </w:r>
      <w:r w:rsidRPr="004A2403">
        <w:rPr>
          <w:rFonts w:eastAsia="Times New Roman" w:cs="Tahoma"/>
          <w:b/>
          <w:bCs/>
          <w:color w:val="FF0000"/>
        </w:rPr>
        <w:t>(2-5)</w:t>
      </w:r>
      <w:r w:rsidRPr="004A2403">
        <w:rPr>
          <w:rFonts w:eastAsia="Times New Roman" w:cs="Tahoma"/>
          <w:b/>
          <w:bCs/>
          <w:color w:val="FF0000"/>
          <w:szCs w:val="24"/>
        </w:rPr>
        <w:t xml:space="preserve"> </w:t>
      </w:r>
      <w:hyperlink r:id="rId17" w:history="1">
        <w:r w:rsidRPr="004A2403">
          <w:rPr>
            <w:rStyle w:val="Hyperlink"/>
            <w:b/>
            <w:sz w:val="20"/>
            <w:u w:val="none"/>
          </w:rPr>
          <w:t>http://challengingbehavior.cbcs.usf.edu/docs/ttyc/TTYC_RoutineBasedSupportGuide.pdf</w:t>
        </w:r>
      </w:hyperlink>
    </w:p>
    <w:p w14:paraId="10D2B2AA" w14:textId="77777777" w:rsidR="00772E32" w:rsidRDefault="00772E32" w:rsidP="00772E32">
      <w:pPr>
        <w:pStyle w:val="ListParagraph"/>
        <w:numPr>
          <w:ilvl w:val="0"/>
          <w:numId w:val="3"/>
        </w:numPr>
        <w:rPr>
          <w:rFonts w:eastAsia="Times New Roman" w:cs="Tahoma"/>
          <w:b/>
          <w:bCs/>
          <w:color w:val="000000" w:themeColor="text1"/>
          <w:sz w:val="20"/>
          <w:szCs w:val="24"/>
        </w:rPr>
      </w:pPr>
      <w:r w:rsidRPr="004A2403">
        <w:rPr>
          <w:rFonts w:eastAsia="Times New Roman" w:cs="Tahoma"/>
          <w:b/>
          <w:bCs/>
        </w:rPr>
        <w:t>Early Elementary K-2</w:t>
      </w:r>
      <w:r w:rsidRPr="004A2403">
        <w:rPr>
          <w:rFonts w:eastAsia="Times New Roman" w:cs="Tahoma"/>
          <w:b/>
          <w:bCs/>
          <w:vertAlign w:val="superscript"/>
        </w:rPr>
        <w:t>nd</w:t>
      </w:r>
      <w:r w:rsidRPr="004A2403">
        <w:rPr>
          <w:rFonts w:eastAsia="Times New Roman" w:cs="Tahoma"/>
          <w:b/>
          <w:bCs/>
        </w:rPr>
        <w:t xml:space="preserve"> Grade </w:t>
      </w:r>
      <w:r w:rsidRPr="004A2403">
        <w:rPr>
          <w:b/>
          <w:color w:val="FF0000"/>
        </w:rPr>
        <w:t>(5-8)</w:t>
      </w:r>
      <w:r w:rsidRPr="004A2403">
        <w:rPr>
          <w:color w:val="FF0000"/>
        </w:rPr>
        <w:t xml:space="preserve"> </w:t>
      </w:r>
      <w:hyperlink r:id="rId18" w:history="1">
        <w:r w:rsidRPr="004A2403">
          <w:rPr>
            <w:rStyle w:val="Hyperlink"/>
            <w:rFonts w:eastAsia="Times New Roman" w:cs="Tahoma"/>
            <w:b/>
            <w:bCs/>
            <w:sz w:val="20"/>
            <w:szCs w:val="24"/>
            <w:u w:val="none"/>
          </w:rPr>
          <w:t>http://challengingbehavior.cbcs.usf.edu/docs/RoutineSupportGuide_class_early_elementary.pdf</w:t>
        </w:r>
      </w:hyperlink>
      <w:r w:rsidRPr="004A2403">
        <w:rPr>
          <w:rFonts w:eastAsia="Times New Roman" w:cs="Tahoma"/>
          <w:b/>
          <w:bCs/>
          <w:color w:val="000000" w:themeColor="text1"/>
          <w:sz w:val="20"/>
          <w:szCs w:val="24"/>
        </w:rPr>
        <w:t xml:space="preserve"> </w:t>
      </w:r>
    </w:p>
    <w:p w14:paraId="7E1CD894" w14:textId="28184904" w:rsidR="00772E32" w:rsidRDefault="00772E32" w:rsidP="00772E32">
      <w:pPr>
        <w:rPr>
          <w:rFonts w:cs="Tahoma"/>
          <w:b/>
          <w:bCs/>
          <w:color w:val="000000" w:themeColor="text1"/>
          <w:sz w:val="8"/>
        </w:rPr>
      </w:pPr>
    </w:p>
    <w:p w14:paraId="3FBCE8B6" w14:textId="7565CB35" w:rsidR="00A02069" w:rsidRPr="00AC73E1" w:rsidRDefault="00A02069" w:rsidP="00A02069">
      <w:pPr>
        <w:rPr>
          <w:b/>
          <w:color w:val="0000FF"/>
          <w:sz w:val="18"/>
          <w:szCs w:val="24"/>
        </w:rPr>
      </w:pPr>
      <w:r w:rsidRPr="000D0A14">
        <w:rPr>
          <w:sz w:val="24"/>
        </w:rPr>
        <w:t>How Inclusion is Benefitting One Child Without Disabilities: Dillon’s Story</w:t>
      </w:r>
      <w:r w:rsidRPr="000D0A14">
        <w:rPr>
          <w:sz w:val="24"/>
          <w:szCs w:val="24"/>
        </w:rPr>
        <w:t xml:space="preserve"> </w:t>
      </w:r>
      <w:hyperlink r:id="rId19" w:history="1">
        <w:r w:rsidRPr="004F39B4">
          <w:rPr>
            <w:rStyle w:val="Hyperlink"/>
            <w:b/>
            <w:sz w:val="20"/>
            <w:u w:val="none"/>
          </w:rPr>
          <w:t>http://ici.umn.edu/products/impact/221/9.html</w:t>
        </w:r>
      </w:hyperlink>
      <w:r>
        <w:rPr>
          <w:b/>
          <w:color w:val="0000FF"/>
          <w:sz w:val="20"/>
        </w:rPr>
        <w:t xml:space="preserve"> </w:t>
      </w:r>
    </w:p>
    <w:p w14:paraId="4D38670E" w14:textId="77777777" w:rsidR="00A02069" w:rsidRPr="009A089E" w:rsidRDefault="00A02069" w:rsidP="00A02069">
      <w:pPr>
        <w:contextualSpacing/>
        <w:rPr>
          <w:i/>
        </w:rPr>
      </w:pPr>
      <w:r w:rsidRPr="009A089E">
        <w:rPr>
          <w:i/>
        </w:rPr>
        <w:t>This one-page article shares the perspectives of the family of a young child who is typically developing regarding the benefits they see accruing from their son’s participation in inclusive early childhood programs.</w:t>
      </w:r>
    </w:p>
    <w:p w14:paraId="7C495B93" w14:textId="77777777" w:rsidR="009E243E" w:rsidRDefault="009E243E" w:rsidP="004E2A16">
      <w:pPr>
        <w:rPr>
          <w:rFonts w:cstheme="minorHAnsi"/>
          <w:sz w:val="16"/>
          <w:szCs w:val="24"/>
        </w:rPr>
      </w:pPr>
    </w:p>
    <w:p w14:paraId="7C9DF23C" w14:textId="254B15B5" w:rsidR="009E243E" w:rsidRPr="009E243E" w:rsidRDefault="009E243E" w:rsidP="00C70CED">
      <w:pPr>
        <w:ind w:firstLine="720"/>
        <w:rPr>
          <w:rFonts w:ascii="Arial Black" w:hAnsi="Arial Black" w:cstheme="minorHAnsi"/>
          <w:sz w:val="16"/>
          <w:szCs w:val="24"/>
        </w:rPr>
      </w:pPr>
      <w:r w:rsidRPr="009E243E">
        <w:rPr>
          <w:rFonts w:ascii="Arial Black" w:hAnsi="Arial Black" w:cstheme="minorHAnsi"/>
          <w:sz w:val="16"/>
          <w:szCs w:val="24"/>
        </w:rPr>
        <w:t>AUDIOVISUAL</w:t>
      </w:r>
    </w:p>
    <w:p w14:paraId="4C8C8B9B" w14:textId="6CD9E8F3" w:rsidR="009E243E" w:rsidRPr="000D0A14" w:rsidRDefault="009E243E" w:rsidP="004E2A16">
      <w:pPr>
        <w:rPr>
          <w:rFonts w:cstheme="minorHAnsi"/>
          <w:sz w:val="8"/>
          <w:szCs w:val="24"/>
        </w:rPr>
      </w:pPr>
    </w:p>
    <w:p w14:paraId="54F5A73D" w14:textId="0FE58931" w:rsidR="003424FD" w:rsidRPr="00EA6470" w:rsidRDefault="003424FD" w:rsidP="003424FD">
      <w:pPr>
        <w:rPr>
          <w:sz w:val="20"/>
        </w:rPr>
      </w:pPr>
      <w:r w:rsidRPr="003424FD">
        <w:rPr>
          <w:rFonts w:cs="Arial"/>
          <w:bCs/>
          <w:sz w:val="24"/>
        </w:rPr>
        <w:t>Everyone’s Welcome</w:t>
      </w:r>
      <w:r>
        <w:rPr>
          <w:rFonts w:eastAsia="Times New Roman"/>
          <w:b/>
          <w:bCs/>
          <w:kern w:val="36"/>
        </w:rPr>
        <w:t xml:space="preserve">  </w:t>
      </w:r>
      <w:r>
        <w:rPr>
          <w:rStyle w:val="Hyperlink"/>
          <w:b/>
          <w:color w:val="FF0000"/>
          <w:szCs w:val="20"/>
          <w:u w:val="none"/>
        </w:rPr>
        <w:t xml:space="preserve"> </w:t>
      </w:r>
      <w:hyperlink r:id="rId20" w:history="1">
        <w:r w:rsidRPr="00EA6470">
          <w:rPr>
            <w:rStyle w:val="Hyperlink"/>
            <w:rFonts w:eastAsia="Times New Roman"/>
            <w:b/>
            <w:color w:val="954F72"/>
            <w:sz w:val="20"/>
            <w:u w:val="none"/>
          </w:rPr>
          <w:t>https://www.youtube.com/watch?v=1MJrRvpjB1I</w:t>
        </w:r>
      </w:hyperlink>
    </w:p>
    <w:p w14:paraId="6F1DACBE" w14:textId="77777777" w:rsidR="003424FD" w:rsidRPr="003424FD" w:rsidRDefault="003424FD" w:rsidP="003424FD">
      <w:pPr>
        <w:rPr>
          <w:b/>
          <w:i/>
        </w:rPr>
      </w:pPr>
      <w:r w:rsidRPr="003424FD">
        <w:rPr>
          <w:i/>
        </w:rPr>
        <w:t xml:space="preserve">Watch this delightful video and use it to discuss how to make everyone welcome in your work with children and families.  </w:t>
      </w:r>
    </w:p>
    <w:p w14:paraId="7ECAA849" w14:textId="705ABE8F" w:rsidR="00A02069" w:rsidRPr="00487A0F" w:rsidRDefault="00A02069" w:rsidP="004E2A16">
      <w:pPr>
        <w:rPr>
          <w:rFonts w:cstheme="minorHAnsi"/>
          <w:sz w:val="8"/>
          <w:szCs w:val="24"/>
        </w:rPr>
      </w:pPr>
    </w:p>
    <w:p w14:paraId="027D30A4" w14:textId="2E9C9FC2" w:rsidR="00487A0F" w:rsidRPr="00487A0F" w:rsidRDefault="00487A0F" w:rsidP="00487A0F">
      <w:pPr>
        <w:ind w:left="342" w:hanging="342"/>
        <w:rPr>
          <w:b/>
          <w:color w:val="FF0000"/>
          <w:sz w:val="24"/>
        </w:rPr>
      </w:pPr>
      <w:r w:rsidRPr="00487A0F">
        <w:rPr>
          <w:rFonts w:cs="Arial"/>
          <w:bCs/>
          <w:sz w:val="24"/>
        </w:rPr>
        <w:t>Results Matter Video Library</w:t>
      </w:r>
      <w:r w:rsidRPr="00487A0F">
        <w:rPr>
          <w:rFonts w:cs="Arial"/>
          <w:b/>
          <w:bCs/>
          <w:sz w:val="24"/>
        </w:rPr>
        <w:t xml:space="preserve"> </w:t>
      </w:r>
      <w:r w:rsidRPr="00487A0F">
        <w:rPr>
          <w:b/>
          <w:color w:val="0000FF"/>
        </w:rPr>
        <w:t xml:space="preserve">   </w:t>
      </w:r>
      <w:hyperlink r:id="rId21" w:history="1">
        <w:r w:rsidRPr="00487A0F">
          <w:rPr>
            <w:rStyle w:val="Hyperlink"/>
            <w:rFonts w:cs="Arial"/>
            <w:b/>
            <w:bCs/>
            <w:u w:val="none"/>
          </w:rPr>
          <w:t>https://www.cde.state.co.us/resultsmatter/rmvideoseries</w:t>
        </w:r>
      </w:hyperlink>
    </w:p>
    <w:p w14:paraId="17BFA7FF" w14:textId="77777777" w:rsidR="00487A0F" w:rsidRPr="009A089E" w:rsidRDefault="00487A0F" w:rsidP="00487A0F">
      <w:pPr>
        <w:rPr>
          <w:rFonts w:cs="Arial"/>
          <w:i/>
          <w:szCs w:val="18"/>
        </w:rPr>
      </w:pPr>
      <w:r w:rsidRPr="009A089E">
        <w:rPr>
          <w:rFonts w:cs="Arial"/>
          <w:i/>
          <w:szCs w:val="18"/>
        </w:rPr>
        <w:t>The Library contains video clips about early intervention, the use of observation, documentation, and assessment to inform practice, effective applications of technology and more. This catalog provides an overview of each of the hundreds of free, downloadable clips in the library, including the duration of each clip.</w:t>
      </w:r>
    </w:p>
    <w:p w14:paraId="644D5DE5" w14:textId="77777777" w:rsidR="00487A0F" w:rsidRPr="00C70CED" w:rsidRDefault="00487A0F" w:rsidP="004E2A16">
      <w:pPr>
        <w:rPr>
          <w:rFonts w:cstheme="minorHAnsi"/>
          <w:sz w:val="8"/>
          <w:szCs w:val="24"/>
        </w:rPr>
      </w:pPr>
    </w:p>
    <w:p w14:paraId="11FDC582" w14:textId="46D4A4C1" w:rsidR="009E243E" w:rsidRPr="009E243E" w:rsidRDefault="009E243E" w:rsidP="009A089E">
      <w:pPr>
        <w:ind w:firstLine="720"/>
        <w:rPr>
          <w:rFonts w:ascii="Arial Black" w:hAnsi="Arial Black" w:cstheme="minorHAnsi"/>
          <w:sz w:val="16"/>
          <w:szCs w:val="24"/>
        </w:rPr>
      </w:pPr>
      <w:r w:rsidRPr="009E243E">
        <w:rPr>
          <w:rFonts w:ascii="Arial Black" w:hAnsi="Arial Black" w:cstheme="minorHAnsi"/>
          <w:sz w:val="16"/>
          <w:szCs w:val="24"/>
        </w:rPr>
        <w:t>ONLINE</w:t>
      </w:r>
    </w:p>
    <w:p w14:paraId="66C16C15" w14:textId="77777777" w:rsidR="009E243E" w:rsidRPr="00C70CED" w:rsidRDefault="009E243E" w:rsidP="004E2A16">
      <w:pPr>
        <w:rPr>
          <w:rFonts w:cstheme="minorHAnsi"/>
          <w:sz w:val="8"/>
          <w:szCs w:val="24"/>
        </w:rPr>
      </w:pPr>
    </w:p>
    <w:p w14:paraId="3997945A" w14:textId="6E253338" w:rsidR="00C70CED" w:rsidRPr="00C70CED" w:rsidRDefault="00C70CED" w:rsidP="00C70CED">
      <w:pPr>
        <w:ind w:left="252" w:hanging="252"/>
        <w:rPr>
          <w:rFonts w:eastAsia="Times New Roman" w:cs="Tahoma"/>
          <w:b/>
          <w:bCs/>
          <w:color w:val="333333"/>
          <w:szCs w:val="24"/>
        </w:rPr>
      </w:pPr>
      <w:r w:rsidRPr="00C70CED">
        <w:rPr>
          <w:rFonts w:eastAsia="Times New Roman" w:cs="Tahoma"/>
          <w:bCs/>
          <w:color w:val="333333"/>
          <w:sz w:val="24"/>
          <w:szCs w:val="24"/>
        </w:rPr>
        <w:t>Early Childhood Recommended Practice Modules</w:t>
      </w:r>
      <w:r w:rsidRPr="00C70CED">
        <w:rPr>
          <w:rFonts w:eastAsia="Times New Roman" w:cs="Tahoma"/>
          <w:b/>
          <w:bCs/>
          <w:color w:val="333333"/>
          <w:sz w:val="24"/>
          <w:szCs w:val="24"/>
        </w:rPr>
        <w:t xml:space="preserve">  </w:t>
      </w:r>
      <w:hyperlink r:id="rId22" w:history="1">
        <w:r w:rsidRPr="00C70CED">
          <w:rPr>
            <w:rStyle w:val="Hyperlink"/>
            <w:rFonts w:eastAsia="Times New Roman" w:cs="Tahoma"/>
            <w:b/>
            <w:bCs/>
            <w:szCs w:val="24"/>
            <w:u w:val="none"/>
          </w:rPr>
          <w:t>https://rpm.fpg.unc.edu/</w:t>
        </w:r>
      </w:hyperlink>
    </w:p>
    <w:p w14:paraId="07230BDA" w14:textId="77777777" w:rsidR="00C70CED" w:rsidRPr="009A089E" w:rsidRDefault="00C70CED" w:rsidP="00C70CED">
      <w:pPr>
        <w:rPr>
          <w:i/>
        </w:rPr>
      </w:pPr>
      <w:r w:rsidRPr="009A089E">
        <w:rPr>
          <w:i/>
        </w:rPr>
        <w:t xml:space="preserve">These modules were developed for early care and education, early intervention, and early childhood special education </w:t>
      </w:r>
      <w:r w:rsidRPr="009A089E">
        <w:rPr>
          <w:rStyle w:val="Strong"/>
          <w:i/>
        </w:rPr>
        <w:t xml:space="preserve">faculty and professional development providers </w:t>
      </w:r>
      <w:r w:rsidRPr="009A089E">
        <w:rPr>
          <w:i/>
        </w:rPr>
        <w:t xml:space="preserve">to use within their coursework and trainings. These modules are designed to support the implementation of the </w:t>
      </w:r>
      <w:r w:rsidRPr="009A089E">
        <w:rPr>
          <w:rStyle w:val="Strong"/>
          <w:i/>
        </w:rPr>
        <w:t>Division of Early Childhood Recommended Practices</w:t>
      </w:r>
      <w:r w:rsidRPr="009A089E">
        <w:rPr>
          <w:i/>
        </w:rPr>
        <w:t>.  Audio clips, video clips, hand-outs, activities, and supports for instructors are all available online.</w:t>
      </w:r>
    </w:p>
    <w:p w14:paraId="4417A28F" w14:textId="77777777" w:rsidR="009E243E" w:rsidRPr="008A056B" w:rsidRDefault="009E243E" w:rsidP="004E2A16">
      <w:pPr>
        <w:rPr>
          <w:rFonts w:cstheme="minorHAnsi"/>
          <w:sz w:val="16"/>
          <w:szCs w:val="24"/>
        </w:rPr>
      </w:pPr>
    </w:p>
    <w:p w14:paraId="11E9C573" w14:textId="18DC784A" w:rsidR="008823AB" w:rsidRPr="008A056B" w:rsidRDefault="008823AB" w:rsidP="008823AB">
      <w:pPr>
        <w:rPr>
          <w:b/>
          <w:sz w:val="24"/>
        </w:rPr>
      </w:pPr>
      <w:r w:rsidRPr="008A056B">
        <w:rPr>
          <w:b/>
          <w:sz w:val="24"/>
        </w:rPr>
        <w:t xml:space="preserve">Inclusion: Finding a Common Understanding </w:t>
      </w:r>
    </w:p>
    <w:p w14:paraId="50488905" w14:textId="77777777" w:rsidR="008823AB" w:rsidRPr="008823AB" w:rsidRDefault="001E6438" w:rsidP="008823AB">
      <w:pPr>
        <w:rPr>
          <w:b/>
        </w:rPr>
      </w:pPr>
      <w:hyperlink r:id="rId23" w:history="1">
        <w:r w:rsidR="008823AB" w:rsidRPr="008823AB">
          <w:rPr>
            <w:rStyle w:val="Hyperlink"/>
            <w:b/>
            <w:u w:val="none"/>
          </w:rPr>
          <w:t>http://www.communityplaythings.com/resources/articles/2015/what-is-inclusion</w:t>
        </w:r>
      </w:hyperlink>
      <w:r w:rsidR="008823AB" w:rsidRPr="008823AB">
        <w:rPr>
          <w:b/>
        </w:rPr>
        <w:t xml:space="preserve"> </w:t>
      </w:r>
    </w:p>
    <w:p w14:paraId="09BD6028" w14:textId="77777777" w:rsidR="008823AB" w:rsidRPr="009A089E" w:rsidRDefault="008823AB" w:rsidP="008823AB">
      <w:pPr>
        <w:rPr>
          <w:i/>
        </w:rPr>
      </w:pPr>
      <w:r w:rsidRPr="009A089E">
        <w:rPr>
          <w:i/>
        </w:rPr>
        <w:t>This article highlights, from the perspective of a classroom teacher, how access and full participation are different from physical integration.</w:t>
      </w:r>
    </w:p>
    <w:p w14:paraId="5813FD50" w14:textId="77777777" w:rsidR="008823AB" w:rsidRPr="009A089E" w:rsidRDefault="008823AB" w:rsidP="004E2A16">
      <w:pPr>
        <w:rPr>
          <w:rFonts w:cstheme="minorHAnsi"/>
          <w:sz w:val="16"/>
          <w:szCs w:val="24"/>
        </w:rPr>
      </w:pPr>
    </w:p>
    <w:p w14:paraId="78DAF983" w14:textId="3E00DB3E" w:rsidR="009A089E" w:rsidRPr="00804ED1" w:rsidRDefault="009A089E" w:rsidP="009A089E">
      <w:pPr>
        <w:rPr>
          <w:rFonts w:cs="Calibri"/>
          <w:b/>
          <w:sz w:val="24"/>
          <w:szCs w:val="24"/>
        </w:rPr>
      </w:pPr>
      <w:r w:rsidRPr="00804ED1">
        <w:rPr>
          <w:rFonts w:cs="Calibri"/>
          <w:b/>
          <w:sz w:val="24"/>
          <w:szCs w:val="24"/>
        </w:rPr>
        <w:t>Building Family Engagement through Communication Strategies</w:t>
      </w:r>
    </w:p>
    <w:p w14:paraId="70297058" w14:textId="77777777" w:rsidR="009A089E" w:rsidRPr="009A089E" w:rsidRDefault="001E6438" w:rsidP="009A089E">
      <w:pPr>
        <w:rPr>
          <w:b/>
        </w:rPr>
      </w:pPr>
      <w:hyperlink r:id="rId24" w:history="1">
        <w:r w:rsidR="009A089E" w:rsidRPr="009A089E">
          <w:rPr>
            <w:rStyle w:val="Hyperlink"/>
            <w:b/>
            <w:u w:val="none"/>
          </w:rPr>
          <w:t>https://challengingbehavior.cbcs.usf.edu/docs/Communicating-with-Families.pdf?utm_content=&amp;utm_medium=email&amp;utm_name=&amp;utm_source=govdelivery&amp;utm_term</w:t>
        </w:r>
      </w:hyperlink>
      <w:r w:rsidR="009A089E" w:rsidRPr="009A089E">
        <w:rPr>
          <w:b/>
        </w:rPr>
        <w:t>=</w:t>
      </w:r>
    </w:p>
    <w:p w14:paraId="03A30DCE" w14:textId="055EAF46" w:rsidR="009A089E" w:rsidRPr="009A089E" w:rsidRDefault="009A089E" w:rsidP="009A089E">
      <w:pPr>
        <w:rPr>
          <w:rFonts w:cstheme="minorHAnsi"/>
          <w:i/>
          <w:sz w:val="24"/>
        </w:rPr>
      </w:pPr>
      <w:r w:rsidRPr="009A089E">
        <w:rPr>
          <w:rFonts w:cstheme="minorHAnsi"/>
          <w:i/>
          <w:color w:val="232323"/>
          <w:szCs w:val="21"/>
        </w:rPr>
        <w:t xml:space="preserve">The </w:t>
      </w:r>
      <w:hyperlink r:id="rId25" w:tgtFrame="_blank" w:tooltip="Go to the National Center for Pyramid Model Innovations" w:history="1">
        <w:r w:rsidRPr="004C5F5A">
          <w:rPr>
            <w:rStyle w:val="Hyperlink"/>
            <w:rFonts w:cstheme="minorHAnsi"/>
            <w:b/>
            <w:i/>
            <w:color w:val="0C4D85"/>
            <w:szCs w:val="21"/>
            <w:u w:val="none"/>
          </w:rPr>
          <w:t>National Center for Pyramid Model Innovations</w:t>
        </w:r>
      </w:hyperlink>
      <w:r w:rsidRPr="009A089E">
        <w:rPr>
          <w:rFonts w:cstheme="minorHAnsi"/>
          <w:i/>
          <w:color w:val="232323"/>
          <w:szCs w:val="21"/>
        </w:rPr>
        <w:t xml:space="preserve"> recently developed an infographic on </w:t>
      </w:r>
      <w:hyperlink r:id="rId26" w:tgtFrame="_blank" w:tooltip="Download the infographic PDF: Communicating with Families: Helpful Suggestions" w:history="1">
        <w:r w:rsidRPr="004C5F5A">
          <w:rPr>
            <w:rStyle w:val="Hyperlink"/>
            <w:rFonts w:cstheme="minorHAnsi"/>
            <w:b/>
            <w:i/>
            <w:color w:val="0C4D85"/>
            <w:szCs w:val="21"/>
            <w:u w:val="none"/>
          </w:rPr>
          <w:t>Communicating with Families: Helpful Suggestions</w:t>
        </w:r>
      </w:hyperlink>
      <w:r w:rsidRPr="009A089E">
        <w:rPr>
          <w:rFonts w:cstheme="minorHAnsi"/>
          <w:i/>
          <w:color w:val="232323"/>
          <w:szCs w:val="21"/>
        </w:rPr>
        <w:t>. It highlights communication strategies that early childhood programs can use to engage with families and invite families to share information about their child, themselves, and what they see as important.</w:t>
      </w:r>
    </w:p>
    <w:p w14:paraId="22DC4F4D" w14:textId="77777777" w:rsidR="009A089E" w:rsidRPr="0046403A" w:rsidRDefault="009A089E" w:rsidP="009E243E">
      <w:pPr>
        <w:rPr>
          <w:b/>
          <w:sz w:val="16"/>
        </w:rPr>
      </w:pPr>
    </w:p>
    <w:p w14:paraId="6AFD7360" w14:textId="510121C6" w:rsidR="009E243E" w:rsidRPr="00C70CED" w:rsidRDefault="009E243E" w:rsidP="009E243E">
      <w:pPr>
        <w:rPr>
          <w:b/>
          <w:sz w:val="24"/>
        </w:rPr>
      </w:pPr>
      <w:proofErr w:type="spellStart"/>
      <w:r w:rsidRPr="00C70CED">
        <w:rPr>
          <w:b/>
          <w:sz w:val="24"/>
        </w:rPr>
        <w:t>EarlyEdU</w:t>
      </w:r>
      <w:proofErr w:type="spellEnd"/>
      <w:r w:rsidRPr="00C70CED">
        <w:rPr>
          <w:b/>
          <w:sz w:val="24"/>
        </w:rPr>
        <w:t xml:space="preserve"> Multimedia Resources</w:t>
      </w:r>
    </w:p>
    <w:p w14:paraId="18401C85" w14:textId="77777777" w:rsidR="009E243E" w:rsidRPr="006572FF" w:rsidRDefault="009E243E" w:rsidP="009E243E">
      <w:pPr>
        <w:pStyle w:val="ListParagraph"/>
        <w:numPr>
          <w:ilvl w:val="0"/>
          <w:numId w:val="15"/>
        </w:numPr>
      </w:pPr>
      <w:r w:rsidRPr="006572FF">
        <w:t xml:space="preserve">Join </w:t>
      </w:r>
      <w:proofErr w:type="spellStart"/>
      <w:r w:rsidRPr="006572FF">
        <w:t>EarlyEdU</w:t>
      </w:r>
      <w:proofErr w:type="spellEnd"/>
      <w:r w:rsidRPr="006572FF">
        <w:t xml:space="preserve"> Alliance as an individual to access</w:t>
      </w:r>
    </w:p>
    <w:p w14:paraId="6E92E16C" w14:textId="77777777" w:rsidR="009E243E" w:rsidRPr="006572FF" w:rsidRDefault="009E243E" w:rsidP="009E243E">
      <w:pPr>
        <w:pStyle w:val="ListParagraph"/>
        <w:numPr>
          <w:ilvl w:val="0"/>
          <w:numId w:val="15"/>
        </w:numPr>
      </w:pPr>
      <w:r w:rsidRPr="006572FF">
        <w:t xml:space="preserve">Enter name and email at </w:t>
      </w:r>
      <w:hyperlink r:id="rId27" w:history="1">
        <w:r w:rsidRPr="006572FF">
          <w:rPr>
            <w:rStyle w:val="Hyperlink"/>
            <w:b/>
            <w:u w:val="none"/>
          </w:rPr>
          <w:t>https://www.earlyedualliance.org/membership-registration/</w:t>
        </w:r>
      </w:hyperlink>
      <w:r w:rsidRPr="006572FF">
        <w:rPr>
          <w:b/>
        </w:rPr>
        <w:t xml:space="preserve"> </w:t>
      </w:r>
    </w:p>
    <w:p w14:paraId="13DED48A" w14:textId="77777777" w:rsidR="005A279A" w:rsidRPr="005A279A" w:rsidRDefault="009E243E" w:rsidP="005A279A">
      <w:pPr>
        <w:pStyle w:val="ListParagraph"/>
        <w:numPr>
          <w:ilvl w:val="0"/>
          <w:numId w:val="15"/>
        </w:numPr>
      </w:pPr>
      <w:r w:rsidRPr="006572FF">
        <w:t>Go to Multimedia Resources</w:t>
      </w:r>
    </w:p>
    <w:p w14:paraId="561E2A07" w14:textId="77777777" w:rsidR="00804ED1" w:rsidRPr="00B60372" w:rsidRDefault="00804ED1" w:rsidP="00804ED1">
      <w:pPr>
        <w:pStyle w:val="ListParagraph"/>
        <w:ind w:left="360"/>
        <w:rPr>
          <w:sz w:val="14"/>
        </w:rPr>
      </w:pPr>
    </w:p>
    <w:p w14:paraId="323CEDB1" w14:textId="77777777" w:rsidR="009E243E" w:rsidRPr="00804ED1" w:rsidRDefault="009E243E" w:rsidP="009E243E">
      <w:pPr>
        <w:rPr>
          <w:rFonts w:cstheme="minorHAnsi"/>
          <w:sz w:val="20"/>
          <w:szCs w:val="24"/>
        </w:rPr>
      </w:pPr>
      <w:r w:rsidRPr="00116F19">
        <w:rPr>
          <w:rFonts w:cstheme="minorHAnsi"/>
          <w:b/>
          <w:sz w:val="24"/>
          <w:szCs w:val="24"/>
        </w:rPr>
        <w:lastRenderedPageBreak/>
        <w:t>Paul Brookes Inclusion Lab</w:t>
      </w:r>
      <w:r w:rsidRPr="00116F19">
        <w:rPr>
          <w:rFonts w:cstheme="minorHAnsi"/>
          <w:sz w:val="24"/>
          <w:szCs w:val="24"/>
        </w:rPr>
        <w:t xml:space="preserve">  </w:t>
      </w:r>
      <w:hyperlink r:id="rId28" w:history="1">
        <w:r w:rsidRPr="00EC1A59">
          <w:rPr>
            <w:rStyle w:val="Hyperlink"/>
            <w:rFonts w:cstheme="minorHAnsi"/>
            <w:b/>
            <w:sz w:val="24"/>
            <w:szCs w:val="24"/>
            <w:u w:val="none"/>
          </w:rPr>
          <w:t>https://blog.brookespublishing.com/</w:t>
        </w:r>
      </w:hyperlink>
      <w:r w:rsidRPr="00EC1A59">
        <w:rPr>
          <w:rFonts w:cstheme="minorHAnsi"/>
          <w:b/>
          <w:sz w:val="24"/>
          <w:szCs w:val="24"/>
        </w:rPr>
        <w:t xml:space="preserve"> </w:t>
      </w:r>
    </w:p>
    <w:p w14:paraId="74A4C7DB" w14:textId="77777777" w:rsidR="00EC1A59" w:rsidRPr="00804ED1" w:rsidRDefault="00EC1A59" w:rsidP="004E2A16">
      <w:pPr>
        <w:rPr>
          <w:b/>
          <w:sz w:val="16"/>
        </w:rPr>
      </w:pPr>
    </w:p>
    <w:p w14:paraId="1BA316BB" w14:textId="64047439" w:rsidR="00ED7780" w:rsidRPr="00ED7780" w:rsidRDefault="00AA2549" w:rsidP="005D02E8">
      <w:pPr>
        <w:rPr>
          <w:rFonts w:cstheme="minorHAnsi"/>
          <w:sz w:val="24"/>
          <w:szCs w:val="24"/>
        </w:rPr>
      </w:pPr>
      <w:r w:rsidRPr="00116F19">
        <w:rPr>
          <w:rFonts w:cstheme="minorHAnsi"/>
          <w:b/>
          <w:sz w:val="24"/>
          <w:szCs w:val="24"/>
        </w:rPr>
        <w:t xml:space="preserve">Kindergarten </w:t>
      </w:r>
      <w:r w:rsidR="00804ED1" w:rsidRPr="00116F19">
        <w:rPr>
          <w:rFonts w:cstheme="minorHAnsi"/>
          <w:b/>
          <w:sz w:val="24"/>
          <w:szCs w:val="24"/>
        </w:rPr>
        <w:t>G</w:t>
      </w:r>
      <w:r w:rsidR="00A02977" w:rsidRPr="00116F19">
        <w:rPr>
          <w:rFonts w:cstheme="minorHAnsi"/>
          <w:b/>
          <w:sz w:val="24"/>
          <w:szCs w:val="24"/>
        </w:rPr>
        <w:t xml:space="preserve">reeting </w:t>
      </w:r>
      <w:r w:rsidR="00804ED1" w:rsidRPr="00116F19">
        <w:rPr>
          <w:rFonts w:cstheme="minorHAnsi"/>
          <w:b/>
          <w:sz w:val="24"/>
          <w:szCs w:val="24"/>
        </w:rPr>
        <w:t>R</w:t>
      </w:r>
      <w:r w:rsidR="00A02977" w:rsidRPr="00116F19">
        <w:rPr>
          <w:rFonts w:cstheme="minorHAnsi"/>
          <w:b/>
          <w:sz w:val="24"/>
          <w:szCs w:val="24"/>
        </w:rPr>
        <w:t>outine</w:t>
      </w:r>
      <w:r w:rsidR="00A02977" w:rsidRPr="00116F19">
        <w:rPr>
          <w:rFonts w:cstheme="minorHAnsi"/>
          <w:sz w:val="24"/>
          <w:szCs w:val="24"/>
        </w:rPr>
        <w:t xml:space="preserve">  </w:t>
      </w:r>
      <w:hyperlink r:id="rId29" w:history="1">
        <w:r w:rsidR="00A02977" w:rsidRPr="00116F19">
          <w:rPr>
            <w:rStyle w:val="Hyperlink"/>
            <w:rFonts w:cstheme="minorHAnsi"/>
            <w:b/>
            <w:sz w:val="24"/>
            <w:szCs w:val="24"/>
            <w:u w:val="none"/>
          </w:rPr>
          <w:t>https://www.youtube.com/watch?v=fZZ8zpQPPnY</w:t>
        </w:r>
      </w:hyperlink>
      <w:r w:rsidR="00A02977">
        <w:rPr>
          <w:rFonts w:cstheme="minorHAnsi"/>
          <w:sz w:val="24"/>
          <w:szCs w:val="24"/>
        </w:rPr>
        <w:t xml:space="preserve">  </w:t>
      </w:r>
    </w:p>
    <w:p w14:paraId="0C28E078" w14:textId="17382134" w:rsidR="00ED7780" w:rsidRDefault="00ED7780" w:rsidP="005D02E8">
      <w:pPr>
        <w:rPr>
          <w:rFonts w:cstheme="minorHAnsi"/>
          <w:sz w:val="16"/>
          <w:szCs w:val="24"/>
          <w:vertAlign w:val="subscript"/>
        </w:rPr>
      </w:pPr>
    </w:p>
    <w:p w14:paraId="20E0C7D7" w14:textId="192B4183" w:rsidR="005D02E8" w:rsidRPr="005D02E8" w:rsidRDefault="00ED7780" w:rsidP="005D02E8">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line="292" w:lineRule="exact"/>
        <w:ind w:right="-20"/>
        <w:contextualSpacing/>
        <w:jc w:val="center"/>
        <w:rPr>
          <w:rFonts w:ascii="Arial Black" w:eastAsia="Calibri" w:hAnsi="Arial Black" w:cs="Britannic Bold"/>
          <w:b/>
          <w:color w:val="000000"/>
          <w:sz w:val="20"/>
          <w:szCs w:val="28"/>
        </w:rPr>
      </w:pPr>
      <w:r>
        <w:rPr>
          <w:rFonts w:ascii="Arial Black" w:eastAsia="Calibri" w:hAnsi="Arial Black" w:cs="Britannic Bold"/>
          <w:b/>
          <w:color w:val="000000"/>
          <w:sz w:val="20"/>
          <w:szCs w:val="28"/>
        </w:rPr>
        <w:t>Incorporating an Emphasis on Individualizing in Any Conversation</w:t>
      </w:r>
    </w:p>
    <w:p w14:paraId="4E6D684F" w14:textId="1D27EDAB" w:rsidR="009A089E" w:rsidRDefault="009A089E" w:rsidP="005D02E8">
      <w:pPr>
        <w:rPr>
          <w:rFonts w:cstheme="minorHAnsi"/>
          <w:sz w:val="16"/>
          <w:szCs w:val="24"/>
        </w:rPr>
      </w:pPr>
    </w:p>
    <w:p w14:paraId="3AE8BB2A" w14:textId="491D3CB6" w:rsidR="006B2B22" w:rsidRPr="00F41DF0" w:rsidRDefault="006B2B22" w:rsidP="005D02E8">
      <w:pPr>
        <w:rPr>
          <w:rFonts w:cstheme="minorHAnsi"/>
          <w:b/>
          <w:sz w:val="24"/>
          <w:szCs w:val="24"/>
        </w:rPr>
      </w:pPr>
      <w:r w:rsidRPr="00F41DF0">
        <w:rPr>
          <w:rFonts w:cstheme="minorHAnsi"/>
          <w:b/>
          <w:sz w:val="24"/>
          <w:szCs w:val="24"/>
        </w:rPr>
        <w:t>Vermont Family Stories</w:t>
      </w:r>
      <w:r w:rsidRPr="00F41DF0">
        <w:rPr>
          <w:rFonts w:cstheme="minorHAnsi"/>
          <w:b/>
          <w:sz w:val="24"/>
          <w:szCs w:val="24"/>
          <w:vertAlign w:val="superscript"/>
        </w:rPr>
        <w:t>1</w:t>
      </w:r>
    </w:p>
    <w:p w14:paraId="60E80DC5" w14:textId="77777777" w:rsidR="006B2B22" w:rsidRPr="00F41DF0" w:rsidRDefault="006B2B22" w:rsidP="005D02E8">
      <w:pPr>
        <w:rPr>
          <w:rFonts w:cstheme="minorHAnsi"/>
          <w:b/>
          <w:sz w:val="16"/>
          <w:szCs w:val="24"/>
        </w:rPr>
      </w:pPr>
    </w:p>
    <w:p w14:paraId="1FD58B2B" w14:textId="0D611825" w:rsidR="004F76D8" w:rsidRPr="00F41DF0" w:rsidRDefault="004F76D8" w:rsidP="005D02E8">
      <w:pPr>
        <w:rPr>
          <w:rFonts w:cstheme="minorHAnsi"/>
          <w:b/>
          <w:sz w:val="24"/>
          <w:szCs w:val="24"/>
        </w:rPr>
      </w:pPr>
      <w:r w:rsidRPr="00F41DF0">
        <w:rPr>
          <w:rFonts w:cstheme="minorHAnsi"/>
          <w:b/>
          <w:sz w:val="24"/>
          <w:szCs w:val="24"/>
        </w:rPr>
        <w:t>Listening to Family Stories</w:t>
      </w:r>
      <w:bookmarkStart w:id="2" w:name="_Hlk8120443"/>
      <w:r w:rsidRPr="00F41DF0">
        <w:rPr>
          <w:rFonts w:cstheme="minorHAnsi"/>
          <w:b/>
          <w:sz w:val="24"/>
          <w:szCs w:val="24"/>
          <w:vertAlign w:val="superscript"/>
        </w:rPr>
        <w:t>1</w:t>
      </w:r>
      <w:bookmarkEnd w:id="2"/>
    </w:p>
    <w:p w14:paraId="40A0DFA2" w14:textId="7D385372" w:rsidR="004F76D8" w:rsidRPr="00F41DF0" w:rsidRDefault="004F76D8" w:rsidP="005D02E8">
      <w:pPr>
        <w:rPr>
          <w:rFonts w:cstheme="minorHAnsi"/>
          <w:b/>
          <w:sz w:val="16"/>
          <w:szCs w:val="24"/>
        </w:rPr>
      </w:pPr>
    </w:p>
    <w:p w14:paraId="74E6295B" w14:textId="5639DDC6" w:rsidR="007B1D73" w:rsidRPr="00F41DF0" w:rsidRDefault="007B1D73" w:rsidP="005D02E8">
      <w:pPr>
        <w:rPr>
          <w:rFonts w:cstheme="minorHAnsi"/>
          <w:b/>
          <w:sz w:val="24"/>
          <w:szCs w:val="24"/>
        </w:rPr>
      </w:pPr>
      <w:r w:rsidRPr="00F41DF0">
        <w:rPr>
          <w:rFonts w:cstheme="minorHAnsi"/>
          <w:b/>
          <w:sz w:val="24"/>
          <w:szCs w:val="24"/>
        </w:rPr>
        <w:t>Vermont Guiding Principles</w:t>
      </w:r>
      <w:r w:rsidR="006B2B22" w:rsidRPr="00F41DF0">
        <w:rPr>
          <w:rFonts w:cstheme="minorHAnsi"/>
          <w:b/>
          <w:sz w:val="24"/>
          <w:szCs w:val="24"/>
          <w:vertAlign w:val="superscript"/>
        </w:rPr>
        <w:t>1</w:t>
      </w:r>
    </w:p>
    <w:p w14:paraId="33691F76" w14:textId="3B5D0945" w:rsidR="007B1D73" w:rsidRPr="00F41DF0" w:rsidRDefault="007B1D73" w:rsidP="005D02E8">
      <w:pPr>
        <w:rPr>
          <w:rFonts w:cstheme="minorHAnsi"/>
          <w:b/>
          <w:sz w:val="16"/>
          <w:szCs w:val="24"/>
        </w:rPr>
      </w:pPr>
    </w:p>
    <w:p w14:paraId="658CE10A" w14:textId="77777777" w:rsidR="00116F19" w:rsidRPr="00F41DF0" w:rsidRDefault="00116F19" w:rsidP="00116F19">
      <w:pPr>
        <w:rPr>
          <w:rFonts w:cstheme="minorHAnsi"/>
          <w:b/>
          <w:sz w:val="24"/>
          <w:szCs w:val="24"/>
        </w:rPr>
      </w:pPr>
      <w:r w:rsidRPr="00F41DF0">
        <w:rPr>
          <w:rFonts w:cstheme="minorHAnsi"/>
          <w:b/>
          <w:sz w:val="24"/>
          <w:szCs w:val="24"/>
        </w:rPr>
        <w:t>Using personas</w:t>
      </w:r>
      <w:r w:rsidRPr="00F41DF0">
        <w:rPr>
          <w:rFonts w:cstheme="minorHAnsi"/>
          <w:b/>
          <w:sz w:val="24"/>
          <w:szCs w:val="24"/>
          <w:vertAlign w:val="superscript"/>
        </w:rPr>
        <w:t>1</w:t>
      </w:r>
    </w:p>
    <w:p w14:paraId="7B39700F" w14:textId="77777777" w:rsidR="00116F19" w:rsidRDefault="00116F19" w:rsidP="005D02E8">
      <w:pPr>
        <w:rPr>
          <w:rFonts w:cstheme="minorHAnsi"/>
          <w:sz w:val="16"/>
          <w:szCs w:val="24"/>
        </w:rPr>
      </w:pPr>
    </w:p>
    <w:p w14:paraId="44DE6A89" w14:textId="1FCE5CB9" w:rsidR="00ED7780" w:rsidRPr="005D02E8" w:rsidRDefault="00ED7780" w:rsidP="00ED778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line="292" w:lineRule="exact"/>
        <w:ind w:right="-20"/>
        <w:contextualSpacing/>
        <w:jc w:val="center"/>
        <w:rPr>
          <w:rFonts w:ascii="Arial Black" w:eastAsia="Calibri" w:hAnsi="Arial Black" w:cs="Britannic Bold"/>
          <w:b/>
          <w:color w:val="000000"/>
          <w:sz w:val="20"/>
          <w:szCs w:val="28"/>
        </w:rPr>
      </w:pPr>
      <w:r>
        <w:rPr>
          <w:rFonts w:ascii="Arial Black" w:eastAsia="Calibri" w:hAnsi="Arial Black" w:cs="Britannic Bold"/>
          <w:b/>
          <w:color w:val="000000"/>
          <w:sz w:val="20"/>
          <w:szCs w:val="28"/>
        </w:rPr>
        <w:t>Coming Attractions</w:t>
      </w:r>
    </w:p>
    <w:p w14:paraId="02D0BBB5" w14:textId="1CBDCF58" w:rsidR="00ED7780" w:rsidRDefault="00ED7780" w:rsidP="005D02E8">
      <w:pPr>
        <w:rPr>
          <w:rFonts w:cstheme="minorHAnsi"/>
          <w:sz w:val="16"/>
          <w:szCs w:val="24"/>
        </w:rPr>
      </w:pPr>
    </w:p>
    <w:p w14:paraId="124950E1" w14:textId="422CA07B" w:rsidR="009A089E" w:rsidRPr="00F41DF0" w:rsidRDefault="00D74B56" w:rsidP="005D02E8">
      <w:pPr>
        <w:rPr>
          <w:rFonts w:cstheme="minorHAnsi"/>
          <w:b/>
          <w:sz w:val="24"/>
          <w:szCs w:val="24"/>
        </w:rPr>
      </w:pPr>
      <w:r w:rsidRPr="00F41DF0">
        <w:rPr>
          <w:rFonts w:cstheme="minorHAnsi"/>
          <w:b/>
          <w:sz w:val="24"/>
          <w:szCs w:val="24"/>
        </w:rPr>
        <w:t xml:space="preserve">CONNECT Modules updated and migrating to the DEC website </w:t>
      </w:r>
    </w:p>
    <w:p w14:paraId="0B805FA6" w14:textId="77777777" w:rsidR="0021615D" w:rsidRPr="0021615D" w:rsidRDefault="0021615D" w:rsidP="005D02E8">
      <w:pPr>
        <w:rPr>
          <w:rFonts w:cstheme="minorHAnsi"/>
          <w:sz w:val="16"/>
          <w:szCs w:val="24"/>
        </w:rPr>
      </w:pPr>
    </w:p>
    <w:p w14:paraId="0B2379E9" w14:textId="244A0921" w:rsidR="005D02E8" w:rsidRPr="00F41DF0" w:rsidRDefault="0021615D" w:rsidP="005D02E8">
      <w:pPr>
        <w:rPr>
          <w:rFonts w:cstheme="minorHAnsi"/>
          <w:b/>
          <w:sz w:val="24"/>
          <w:szCs w:val="24"/>
        </w:rPr>
      </w:pPr>
      <w:r w:rsidRPr="00F41DF0">
        <w:rPr>
          <w:rFonts w:cstheme="minorHAnsi"/>
          <w:b/>
          <w:sz w:val="24"/>
          <w:szCs w:val="24"/>
        </w:rPr>
        <w:t>R</w:t>
      </w:r>
      <w:r w:rsidR="00563DAA" w:rsidRPr="00F41DF0">
        <w:rPr>
          <w:rFonts w:cstheme="minorHAnsi"/>
          <w:b/>
          <w:sz w:val="24"/>
          <w:szCs w:val="24"/>
        </w:rPr>
        <w:t xml:space="preserve">evisions to </w:t>
      </w:r>
      <w:r w:rsidRPr="00F41DF0">
        <w:rPr>
          <w:rFonts w:cstheme="minorHAnsi"/>
          <w:b/>
          <w:sz w:val="24"/>
          <w:szCs w:val="24"/>
        </w:rPr>
        <w:t>Developmentally Appropriate Practice (</w:t>
      </w:r>
      <w:r w:rsidR="00563DAA" w:rsidRPr="00F41DF0">
        <w:rPr>
          <w:rFonts w:cstheme="minorHAnsi"/>
          <w:b/>
          <w:sz w:val="24"/>
          <w:szCs w:val="24"/>
        </w:rPr>
        <w:t>DAP</w:t>
      </w:r>
      <w:r w:rsidRPr="00F41DF0">
        <w:rPr>
          <w:rFonts w:cstheme="minorHAnsi"/>
          <w:b/>
          <w:sz w:val="24"/>
          <w:szCs w:val="24"/>
        </w:rPr>
        <w:t>)</w:t>
      </w:r>
    </w:p>
    <w:p w14:paraId="38CD7CA2" w14:textId="77777777" w:rsidR="0021615D" w:rsidRPr="0021615D" w:rsidRDefault="0021615D" w:rsidP="005D02E8">
      <w:pPr>
        <w:rPr>
          <w:rFonts w:cstheme="minorHAnsi"/>
          <w:sz w:val="16"/>
          <w:szCs w:val="24"/>
        </w:rPr>
      </w:pPr>
      <w:bookmarkStart w:id="3" w:name="_GoBack"/>
    </w:p>
    <w:tbl>
      <w:tblPr>
        <w:tblStyle w:val="TableGrid1"/>
        <w:tblW w:w="10345" w:type="dxa"/>
        <w:tblLayout w:type="fixed"/>
        <w:tblLook w:val="04A0" w:firstRow="1" w:lastRow="0" w:firstColumn="1" w:lastColumn="0" w:noHBand="0" w:noVBand="1"/>
      </w:tblPr>
      <w:tblGrid>
        <w:gridCol w:w="2515"/>
        <w:gridCol w:w="7830"/>
      </w:tblGrid>
      <w:tr w:rsidR="0021615D" w:rsidRPr="00483599" w14:paraId="6B07AE3A" w14:textId="77777777" w:rsidTr="00331045">
        <w:tc>
          <w:tcPr>
            <w:tcW w:w="2515" w:type="dxa"/>
            <w:shd w:val="clear" w:color="auto" w:fill="DEEAF6" w:themeFill="accent1" w:themeFillTint="33"/>
            <w:vAlign w:val="center"/>
          </w:tcPr>
          <w:p w14:paraId="60E16ADF" w14:textId="77777777" w:rsidR="0021615D" w:rsidRPr="00483599" w:rsidRDefault="0021615D" w:rsidP="00331045">
            <w:pPr>
              <w:jc w:val="center"/>
              <w:rPr>
                <w:b/>
              </w:rPr>
            </w:pPr>
            <w:r>
              <w:rPr>
                <w:b/>
              </w:rPr>
              <w:t>Topic</w:t>
            </w:r>
            <w:r w:rsidRPr="00483599">
              <w:rPr>
                <w:b/>
              </w:rPr>
              <w:t>s</w:t>
            </w:r>
          </w:p>
        </w:tc>
        <w:tc>
          <w:tcPr>
            <w:tcW w:w="7830" w:type="dxa"/>
            <w:shd w:val="clear" w:color="auto" w:fill="DEEAF6" w:themeFill="accent1" w:themeFillTint="33"/>
          </w:tcPr>
          <w:p w14:paraId="42CDC4E7" w14:textId="77777777" w:rsidR="0021615D" w:rsidRPr="00483599" w:rsidRDefault="0021615D" w:rsidP="00331045">
            <w:pPr>
              <w:jc w:val="center"/>
              <w:rPr>
                <w:b/>
              </w:rPr>
            </w:pPr>
            <w:r>
              <w:rPr>
                <w:b/>
              </w:rPr>
              <w:t>E</w:t>
            </w:r>
            <w:r w:rsidRPr="00483599">
              <w:rPr>
                <w:b/>
              </w:rPr>
              <w:t>vidence-</w:t>
            </w:r>
            <w:r>
              <w:rPr>
                <w:b/>
              </w:rPr>
              <w:t>B</w:t>
            </w:r>
            <w:r w:rsidRPr="00483599">
              <w:rPr>
                <w:b/>
              </w:rPr>
              <w:t xml:space="preserve">ased </w:t>
            </w:r>
            <w:r>
              <w:rPr>
                <w:b/>
              </w:rPr>
              <w:t>P</w:t>
            </w:r>
            <w:r w:rsidRPr="00483599">
              <w:rPr>
                <w:b/>
              </w:rPr>
              <w:t>ractice</w:t>
            </w:r>
            <w:r>
              <w:rPr>
                <w:b/>
              </w:rPr>
              <w:t>s on This Topic</w:t>
            </w:r>
          </w:p>
        </w:tc>
      </w:tr>
      <w:tr w:rsidR="0021615D" w:rsidRPr="00483599" w14:paraId="69F4C325" w14:textId="77777777" w:rsidTr="00331045">
        <w:tc>
          <w:tcPr>
            <w:tcW w:w="2515" w:type="dxa"/>
          </w:tcPr>
          <w:p w14:paraId="20B3DEE2" w14:textId="77777777" w:rsidR="0021615D" w:rsidRPr="00483599" w:rsidRDefault="0021615D" w:rsidP="00331045">
            <w:r w:rsidRPr="00483599">
              <w:t>Supporting young children who are dual language learners (DLLs)</w:t>
            </w:r>
          </w:p>
        </w:tc>
        <w:tc>
          <w:tcPr>
            <w:tcW w:w="7830" w:type="dxa"/>
          </w:tcPr>
          <w:p w14:paraId="2F7A48AA" w14:textId="77777777" w:rsidR="0021615D" w:rsidRPr="00483599" w:rsidRDefault="0021615D" w:rsidP="00331045">
            <w:r w:rsidRPr="00483599">
              <w:t>Resources to Support the Full Participation of Young Children who are Dual Language Learners and their Families</w:t>
            </w:r>
          </w:p>
          <w:p w14:paraId="01425CF5" w14:textId="77777777" w:rsidR="0021615D" w:rsidRPr="00483599" w:rsidRDefault="001E6438" w:rsidP="00331045">
            <w:pPr>
              <w:rPr>
                <w:rFonts w:ascii="Calibri" w:eastAsia="Times New Roman" w:hAnsi="Calibri" w:cs="Times New Roman"/>
                <w:b/>
                <w:color w:val="0563C1" w:themeColor="hyperlink"/>
                <w:sz w:val="20"/>
                <w:szCs w:val="20"/>
              </w:rPr>
            </w:pPr>
            <w:hyperlink r:id="rId30" w:history="1">
              <w:r w:rsidR="0021615D" w:rsidRPr="00483599">
                <w:rPr>
                  <w:rFonts w:ascii="Calibri" w:eastAsia="Times New Roman" w:hAnsi="Calibri" w:cs="Times New Roman"/>
                  <w:b/>
                  <w:color w:val="0563C1" w:themeColor="hyperlink"/>
                  <w:sz w:val="20"/>
                  <w:szCs w:val="20"/>
                </w:rPr>
                <w:t>http://fpg.unc.edu/presentations/vermont-resource-collections</w:t>
              </w:r>
            </w:hyperlink>
          </w:p>
        </w:tc>
      </w:tr>
      <w:tr w:rsidR="0021615D" w:rsidRPr="00483599" w14:paraId="725F222F" w14:textId="77777777" w:rsidTr="00331045">
        <w:tc>
          <w:tcPr>
            <w:tcW w:w="2515" w:type="dxa"/>
          </w:tcPr>
          <w:p w14:paraId="6DEF5FB8" w14:textId="77777777" w:rsidR="0021615D" w:rsidRPr="00483599" w:rsidRDefault="0021615D" w:rsidP="00331045">
            <w:r w:rsidRPr="00483599">
              <w:t>Building resilience: Sup</w:t>
            </w:r>
            <w:r>
              <w:t>-</w:t>
            </w:r>
            <w:r w:rsidRPr="00483599">
              <w:t>porting young children who have experienced trauma or maltreatment</w:t>
            </w:r>
          </w:p>
        </w:tc>
        <w:tc>
          <w:tcPr>
            <w:tcW w:w="7830" w:type="dxa"/>
          </w:tcPr>
          <w:p w14:paraId="13381620" w14:textId="77777777" w:rsidR="0021615D" w:rsidRPr="00FF670B" w:rsidRDefault="0021615D" w:rsidP="00331045">
            <w:pPr>
              <w:rPr>
                <w:rFonts w:cs="Calibri"/>
                <w:szCs w:val="20"/>
              </w:rPr>
            </w:pPr>
            <w:r w:rsidRPr="00483599">
              <w:rPr>
                <w:rFonts w:cs="Calibri"/>
                <w:szCs w:val="20"/>
              </w:rPr>
              <w:t xml:space="preserve">Building Resilience: Resources for Supporting Young Children Who Have Experienced Trauma and Maltreatment and Their Families  </w:t>
            </w:r>
          </w:p>
          <w:p w14:paraId="69B57BE6" w14:textId="77777777" w:rsidR="0021615D" w:rsidRPr="00483599" w:rsidRDefault="001E6438" w:rsidP="00331045">
            <w:pPr>
              <w:rPr>
                <w:sz w:val="20"/>
                <w:szCs w:val="20"/>
              </w:rPr>
            </w:pPr>
            <w:hyperlink r:id="rId31" w:history="1">
              <w:r w:rsidR="0021615D" w:rsidRPr="00FF670B">
                <w:rPr>
                  <w:rStyle w:val="Hyperlink"/>
                  <w:rFonts w:ascii="Calibri" w:eastAsia="Times New Roman" w:hAnsi="Calibri" w:cs="Times New Roman"/>
                  <w:b/>
                  <w:sz w:val="20"/>
                  <w:szCs w:val="20"/>
                  <w:u w:val="none"/>
                </w:rPr>
                <w:t>http://fpg.unc.edu/presentations/vermont-resource-collections</w:t>
              </w:r>
            </w:hyperlink>
          </w:p>
        </w:tc>
      </w:tr>
      <w:tr w:rsidR="0021615D" w:rsidRPr="00483599" w14:paraId="0BCE1977" w14:textId="77777777" w:rsidTr="00331045">
        <w:tc>
          <w:tcPr>
            <w:tcW w:w="2515" w:type="dxa"/>
          </w:tcPr>
          <w:p w14:paraId="46AF5A0A" w14:textId="77777777" w:rsidR="0021615D" w:rsidRPr="00483599" w:rsidRDefault="0021615D" w:rsidP="00331045">
            <w:r w:rsidRPr="00483599">
              <w:t>Culture, diversity and equity</w:t>
            </w:r>
          </w:p>
        </w:tc>
        <w:tc>
          <w:tcPr>
            <w:tcW w:w="7830" w:type="dxa"/>
          </w:tcPr>
          <w:p w14:paraId="501DF9F0" w14:textId="77777777" w:rsidR="0021615D" w:rsidRDefault="0021615D" w:rsidP="00331045">
            <w:pPr>
              <w:rPr>
                <w:b/>
                <w:vertAlign w:val="superscript"/>
              </w:rPr>
            </w:pPr>
            <w:r w:rsidRPr="00483599">
              <w:t>Culture, Diversity, and Equity Resources</w:t>
            </w:r>
          </w:p>
          <w:p w14:paraId="290A50E5" w14:textId="77777777" w:rsidR="0021615D" w:rsidRPr="00483599" w:rsidRDefault="001E6438" w:rsidP="00331045">
            <w:pPr>
              <w:rPr>
                <w:sz w:val="20"/>
                <w:szCs w:val="20"/>
              </w:rPr>
            </w:pPr>
            <w:hyperlink r:id="rId32" w:history="1">
              <w:r w:rsidR="0021615D" w:rsidRPr="00483599">
                <w:rPr>
                  <w:rFonts w:ascii="Calibri" w:eastAsia="Times New Roman" w:hAnsi="Calibri" w:cs="Times New Roman"/>
                  <w:b/>
                  <w:color w:val="0563C1" w:themeColor="hyperlink"/>
                  <w:sz w:val="20"/>
                  <w:szCs w:val="20"/>
                </w:rPr>
                <w:t>http://fpg.unc.edu/presentations/vermont-resource-collections</w:t>
              </w:r>
            </w:hyperlink>
          </w:p>
        </w:tc>
      </w:tr>
      <w:tr w:rsidR="0021615D" w:rsidRPr="00483599" w14:paraId="48FCB2CA" w14:textId="77777777" w:rsidTr="00331045">
        <w:tc>
          <w:tcPr>
            <w:tcW w:w="2515" w:type="dxa"/>
          </w:tcPr>
          <w:p w14:paraId="7CB3AD83" w14:textId="77777777" w:rsidR="0021615D" w:rsidRPr="00483599" w:rsidRDefault="0021615D" w:rsidP="00331045">
            <w:r>
              <w:t>Family engagement</w:t>
            </w:r>
          </w:p>
        </w:tc>
        <w:tc>
          <w:tcPr>
            <w:tcW w:w="7830" w:type="dxa"/>
          </w:tcPr>
          <w:p w14:paraId="14147F24" w14:textId="77777777" w:rsidR="0021615D" w:rsidRDefault="0021615D" w:rsidP="00331045">
            <w:r>
              <w:t>Family Engagement Resources</w:t>
            </w:r>
          </w:p>
          <w:p w14:paraId="715E47FD" w14:textId="77777777" w:rsidR="0021615D" w:rsidRPr="00483599" w:rsidRDefault="001E6438" w:rsidP="00331045">
            <w:hyperlink r:id="rId33" w:history="1">
              <w:r w:rsidR="0021615D" w:rsidRPr="00483599">
                <w:rPr>
                  <w:rFonts w:ascii="Calibri" w:eastAsia="Times New Roman" w:hAnsi="Calibri" w:cs="Times New Roman"/>
                  <w:b/>
                  <w:color w:val="0563C1" w:themeColor="hyperlink"/>
                  <w:sz w:val="20"/>
                  <w:szCs w:val="20"/>
                </w:rPr>
                <w:t>http://fpg.unc.edu/presentations/vermont-resource-collections</w:t>
              </w:r>
            </w:hyperlink>
          </w:p>
        </w:tc>
      </w:tr>
      <w:bookmarkEnd w:id="3"/>
    </w:tbl>
    <w:p w14:paraId="4C43D223" w14:textId="77777777" w:rsidR="0021615D" w:rsidRPr="0021615D" w:rsidRDefault="0021615D" w:rsidP="005D02E8">
      <w:pPr>
        <w:rPr>
          <w:rFonts w:cstheme="minorHAnsi"/>
          <w:sz w:val="16"/>
          <w:szCs w:val="24"/>
        </w:rPr>
      </w:pPr>
    </w:p>
    <w:p w14:paraId="3CF3FC9A" w14:textId="72F0636E" w:rsidR="00951781" w:rsidRPr="00951781" w:rsidRDefault="00951781" w:rsidP="005D02E8">
      <w:pPr>
        <w:rPr>
          <w:rFonts w:cstheme="minorHAnsi"/>
          <w:sz w:val="24"/>
          <w:szCs w:val="24"/>
        </w:rPr>
      </w:pPr>
      <w:r w:rsidRPr="00951781">
        <w:rPr>
          <w:rFonts w:cstheme="minorHAnsi"/>
          <w:sz w:val="24"/>
          <w:szCs w:val="24"/>
        </w:rPr>
        <w:t xml:space="preserve">Catlett, C., &amp; Soukakou, E.P. (2019, July). </w:t>
      </w:r>
      <w:r w:rsidRPr="00951781">
        <w:rPr>
          <w:rFonts w:eastAsia="Times New Roman" w:cstheme="minorHAnsi"/>
          <w:sz w:val="24"/>
          <w:szCs w:val="24"/>
        </w:rPr>
        <w:t xml:space="preserve">Assessing </w:t>
      </w:r>
      <w:r w:rsidRPr="00951781">
        <w:rPr>
          <w:rFonts w:cstheme="minorHAnsi"/>
          <w:sz w:val="24"/>
          <w:szCs w:val="24"/>
        </w:rPr>
        <w:t>o</w:t>
      </w:r>
      <w:r w:rsidRPr="00951781">
        <w:rPr>
          <w:rFonts w:eastAsia="Times New Roman" w:cstheme="minorHAnsi"/>
          <w:sz w:val="24"/>
          <w:szCs w:val="24"/>
        </w:rPr>
        <w:t xml:space="preserve">pportunities to </w:t>
      </w:r>
      <w:r w:rsidRPr="00951781">
        <w:rPr>
          <w:rFonts w:cstheme="minorHAnsi"/>
          <w:sz w:val="24"/>
          <w:szCs w:val="24"/>
        </w:rPr>
        <w:t>s</w:t>
      </w:r>
      <w:r w:rsidRPr="00951781">
        <w:rPr>
          <w:rFonts w:eastAsia="Times New Roman" w:cstheme="minorHAnsi"/>
          <w:sz w:val="24"/>
          <w:szCs w:val="24"/>
        </w:rPr>
        <w:t xml:space="preserve">upport </w:t>
      </w:r>
      <w:r w:rsidRPr="00951781">
        <w:rPr>
          <w:rFonts w:cstheme="minorHAnsi"/>
          <w:sz w:val="24"/>
          <w:szCs w:val="24"/>
        </w:rPr>
        <w:t>e</w:t>
      </w:r>
      <w:r w:rsidRPr="00951781">
        <w:rPr>
          <w:rFonts w:eastAsia="Times New Roman" w:cstheme="minorHAnsi"/>
          <w:sz w:val="24"/>
          <w:szCs w:val="24"/>
        </w:rPr>
        <w:t xml:space="preserve">ach </w:t>
      </w:r>
      <w:r w:rsidRPr="00951781">
        <w:rPr>
          <w:rFonts w:cstheme="minorHAnsi"/>
          <w:sz w:val="24"/>
          <w:szCs w:val="24"/>
        </w:rPr>
        <w:t>c</w:t>
      </w:r>
      <w:r w:rsidRPr="00951781">
        <w:rPr>
          <w:rFonts w:eastAsia="Times New Roman" w:cstheme="minorHAnsi"/>
          <w:sz w:val="24"/>
          <w:szCs w:val="24"/>
        </w:rPr>
        <w:t>hild</w:t>
      </w:r>
      <w:r w:rsidRPr="00951781">
        <w:rPr>
          <w:rFonts w:cstheme="minorHAnsi"/>
          <w:sz w:val="24"/>
          <w:szCs w:val="24"/>
        </w:rPr>
        <w:t>: 1</w:t>
      </w:r>
      <w:r w:rsidRPr="00951781">
        <w:rPr>
          <w:rFonts w:eastAsia="Times New Roman" w:cstheme="minorHAnsi"/>
          <w:sz w:val="24"/>
          <w:szCs w:val="24"/>
        </w:rPr>
        <w:t xml:space="preserve">2 </w:t>
      </w:r>
      <w:r w:rsidRPr="00951781">
        <w:rPr>
          <w:rFonts w:cstheme="minorHAnsi"/>
          <w:sz w:val="24"/>
          <w:szCs w:val="24"/>
        </w:rPr>
        <w:t>p</w:t>
      </w:r>
      <w:r w:rsidRPr="00951781">
        <w:rPr>
          <w:rFonts w:eastAsia="Times New Roman" w:cstheme="minorHAnsi"/>
          <w:sz w:val="24"/>
          <w:szCs w:val="24"/>
        </w:rPr>
        <w:t xml:space="preserve">ractices for </w:t>
      </w:r>
      <w:r w:rsidRPr="00951781">
        <w:rPr>
          <w:rFonts w:cstheme="minorHAnsi"/>
          <w:sz w:val="24"/>
          <w:szCs w:val="24"/>
        </w:rPr>
        <w:t>q</w:t>
      </w:r>
      <w:r w:rsidRPr="00951781">
        <w:rPr>
          <w:rFonts w:eastAsia="Times New Roman" w:cstheme="minorHAnsi"/>
          <w:sz w:val="24"/>
          <w:szCs w:val="24"/>
        </w:rPr>
        <w:t xml:space="preserve">uality </w:t>
      </w:r>
      <w:r w:rsidRPr="00951781">
        <w:rPr>
          <w:rFonts w:cstheme="minorHAnsi"/>
          <w:sz w:val="24"/>
          <w:szCs w:val="24"/>
        </w:rPr>
        <w:t>i</w:t>
      </w:r>
      <w:r w:rsidRPr="00951781">
        <w:rPr>
          <w:rFonts w:eastAsia="Times New Roman" w:cstheme="minorHAnsi"/>
          <w:sz w:val="24"/>
          <w:szCs w:val="24"/>
        </w:rPr>
        <w:t>nclusion</w:t>
      </w:r>
      <w:r w:rsidRPr="00951781">
        <w:rPr>
          <w:rFonts w:cstheme="minorHAnsi"/>
          <w:sz w:val="24"/>
          <w:szCs w:val="24"/>
        </w:rPr>
        <w:t xml:space="preserve">. </w:t>
      </w:r>
      <w:r w:rsidRPr="00951781">
        <w:rPr>
          <w:rFonts w:cstheme="minorHAnsi"/>
          <w:i/>
          <w:sz w:val="24"/>
          <w:szCs w:val="24"/>
        </w:rPr>
        <w:t>Young Children</w:t>
      </w:r>
      <w:r w:rsidRPr="00951781">
        <w:rPr>
          <w:rFonts w:cstheme="minorHAnsi"/>
          <w:sz w:val="24"/>
          <w:szCs w:val="24"/>
        </w:rPr>
        <w:t>.</w:t>
      </w:r>
    </w:p>
    <w:p w14:paraId="1181D5CE" w14:textId="518AB672" w:rsidR="00951781" w:rsidRPr="0021615D" w:rsidRDefault="00951781" w:rsidP="00951781">
      <w:pPr>
        <w:rPr>
          <w:b/>
          <w:sz w:val="16"/>
        </w:rPr>
      </w:pPr>
    </w:p>
    <w:p w14:paraId="1F8EDE97" w14:textId="77777777" w:rsidR="004E2A16" w:rsidRDefault="004E2A16" w:rsidP="004E2A16">
      <w:pPr>
        <w:pStyle w:val="Heading2"/>
        <w:spacing w:before="75" w:beforeAutospacing="0" w:after="60" w:afterAutospacing="0"/>
        <w:rPr>
          <w:rFonts w:ascii="Helvetica" w:eastAsia="Times New Roman" w:hAnsi="Helvetica" w:cs="Helvetica"/>
          <w:color w:val="2D8700"/>
          <w:sz w:val="27"/>
          <w:szCs w:val="27"/>
        </w:rPr>
      </w:pPr>
      <w:r>
        <w:rPr>
          <w:noProof/>
        </w:rPr>
        <w:drawing>
          <wp:anchor distT="0" distB="0" distL="53340" distR="53340" simplePos="0" relativeHeight="251658240" behindDoc="0" locked="0" layoutInCell="1" allowOverlap="0" wp14:anchorId="1814C514" wp14:editId="6FD96070">
            <wp:simplePos x="0" y="0"/>
            <wp:positionH relativeFrom="column">
              <wp:align>right</wp:align>
            </wp:positionH>
            <wp:positionV relativeFrom="line">
              <wp:posOffset>0</wp:posOffset>
            </wp:positionV>
            <wp:extent cx="2457450" cy="923925"/>
            <wp:effectExtent l="0" t="0" r="0" b="9525"/>
            <wp:wrapSquare wrapText="bothSides"/>
            <wp:docPr id="1" name="Picture 1" descr="Logo: STEM Innovation for Inclusion in Early Education (STEMI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EM Innovation for Inclusion in Early Education (STEMIE) Center "/>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2457450" cy="9239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D8700"/>
          <w:sz w:val="27"/>
          <w:szCs w:val="27"/>
        </w:rPr>
        <w:t>Introducing STEMIE!  </w:t>
      </w:r>
      <w:r>
        <w:rPr>
          <w:rFonts w:ascii="Helvetica" w:eastAsia="Times New Roman" w:hAnsi="Helvetica" w:cs="Helvetica"/>
          <w:color w:val="2D8700"/>
          <w:sz w:val="27"/>
          <w:szCs w:val="27"/>
        </w:rPr>
        <w:br/>
        <w:t>The STEM Innovation for Inclusion in Early Education Center</w:t>
      </w:r>
    </w:p>
    <w:p w14:paraId="518612DF" w14:textId="0C2247A3" w:rsidR="004E2A16" w:rsidRPr="00EC385E" w:rsidRDefault="001E6438" w:rsidP="00951781">
      <w:pPr>
        <w:rPr>
          <w:b/>
        </w:rPr>
      </w:pPr>
      <w:hyperlink r:id="rId35" w:history="1">
        <w:r w:rsidR="00EC385E" w:rsidRPr="00EC385E">
          <w:rPr>
            <w:rStyle w:val="Hyperlink"/>
            <w:b/>
            <w:u w:val="none"/>
          </w:rPr>
          <w:t>https://stemie.fpg.unc.edu/</w:t>
        </w:r>
      </w:hyperlink>
    </w:p>
    <w:p w14:paraId="3F58840E" w14:textId="77777777" w:rsidR="00EC385E" w:rsidRDefault="00EC385E" w:rsidP="00951781">
      <w:pPr>
        <w:rPr>
          <w:b/>
        </w:rPr>
      </w:pPr>
    </w:p>
    <w:p w14:paraId="111455D6" w14:textId="77777777" w:rsidR="00C874AD" w:rsidRPr="00804ED1" w:rsidRDefault="00C874AD" w:rsidP="00C874AD">
      <w:pPr>
        <w:rPr>
          <w:rFonts w:cstheme="minorHAnsi"/>
          <w:b/>
          <w:sz w:val="24"/>
          <w:szCs w:val="24"/>
        </w:rPr>
      </w:pPr>
      <w:r w:rsidRPr="00804ED1">
        <w:rPr>
          <w:rFonts w:cstheme="minorHAnsi"/>
          <w:b/>
          <w:sz w:val="24"/>
          <w:szCs w:val="24"/>
        </w:rPr>
        <w:t>Neighbors Learn Sign</w:t>
      </w:r>
      <w:r>
        <w:rPr>
          <w:b/>
        </w:rPr>
        <w:t xml:space="preserve">  </w:t>
      </w:r>
      <w:hyperlink r:id="rId36" w:history="1">
        <w:r w:rsidRPr="006B2B22">
          <w:rPr>
            <w:rStyle w:val="Hyperlink"/>
            <w:rFonts w:cstheme="minorHAnsi"/>
            <w:b/>
            <w:szCs w:val="24"/>
            <w:u w:val="none"/>
          </w:rPr>
          <w:t>https://cbsn.ws/2Ihp9pd</w:t>
        </w:r>
      </w:hyperlink>
      <w:r w:rsidRPr="006B2B22">
        <w:rPr>
          <w:rFonts w:cstheme="minorHAnsi"/>
          <w:b/>
          <w:szCs w:val="24"/>
        </w:rPr>
        <w:t xml:space="preserve">  </w:t>
      </w:r>
      <w:r>
        <w:rPr>
          <w:rFonts w:cstheme="minorHAnsi"/>
          <w:b/>
          <w:sz w:val="24"/>
          <w:szCs w:val="24"/>
        </w:rPr>
        <w:t xml:space="preserve"> </w:t>
      </w:r>
    </w:p>
    <w:p w14:paraId="542DB79A" w14:textId="77777777" w:rsidR="00C874AD" w:rsidRPr="00D74B56" w:rsidRDefault="00C874AD" w:rsidP="00C874AD">
      <w:pPr>
        <w:rPr>
          <w:rFonts w:cstheme="minorHAnsi"/>
          <w:b/>
          <w:sz w:val="16"/>
        </w:rPr>
      </w:pPr>
    </w:p>
    <w:p w14:paraId="75C6439D" w14:textId="78F3360A" w:rsidR="00563DAA" w:rsidRDefault="00563DAA" w:rsidP="00563DAA">
      <w:pPr>
        <w:rPr>
          <w:sz w:val="12"/>
        </w:rPr>
      </w:pPr>
    </w:p>
    <w:sectPr w:rsidR="00563DAA" w:rsidSect="00C82346">
      <w:footerReference w:type="default" r:id="rId3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4DB23" w14:textId="77777777" w:rsidR="001E6438" w:rsidRDefault="001E6438" w:rsidP="00960B7D">
      <w:r>
        <w:separator/>
      </w:r>
    </w:p>
  </w:endnote>
  <w:endnote w:type="continuationSeparator" w:id="0">
    <w:p w14:paraId="5331A73B" w14:textId="77777777" w:rsidR="001E6438" w:rsidRDefault="001E6438" w:rsidP="00960B7D">
      <w:r>
        <w:continuationSeparator/>
      </w:r>
    </w:p>
  </w:endnote>
  <w:endnote w:type="continuationNotice" w:id="1">
    <w:p w14:paraId="40293CB6" w14:textId="77777777" w:rsidR="001E6438" w:rsidRDefault="001E6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532628"/>
      <w:docPartObj>
        <w:docPartGallery w:val="Page Numbers (Bottom of Page)"/>
        <w:docPartUnique/>
      </w:docPartObj>
    </w:sdtPr>
    <w:sdtEndPr>
      <w:rPr>
        <w:noProof/>
      </w:rPr>
    </w:sdtEndPr>
    <w:sdtContent>
      <w:p w14:paraId="1019A2AA" w14:textId="14F43116" w:rsidR="00402AAF" w:rsidRDefault="00402AAF">
        <w:pPr>
          <w:pStyle w:val="Footer"/>
          <w:jc w:val="right"/>
        </w:pPr>
        <w:r>
          <w:fldChar w:fldCharType="begin"/>
        </w:r>
        <w:r>
          <w:instrText xml:space="preserve"> PAGE   \* MERGEFORMAT </w:instrText>
        </w:r>
        <w:r>
          <w:fldChar w:fldCharType="separate"/>
        </w:r>
        <w:r w:rsidR="00F5722D">
          <w:rPr>
            <w:noProof/>
          </w:rPr>
          <w:t>1</w:t>
        </w:r>
        <w:r>
          <w:rPr>
            <w:noProof/>
          </w:rPr>
          <w:fldChar w:fldCharType="end"/>
        </w:r>
      </w:p>
    </w:sdtContent>
  </w:sdt>
  <w:p w14:paraId="3DE3B22D" w14:textId="77777777" w:rsidR="00402AAF" w:rsidRDefault="00402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F2B8" w14:textId="77777777" w:rsidR="001E6438" w:rsidRDefault="001E6438" w:rsidP="00960B7D">
      <w:r>
        <w:separator/>
      </w:r>
    </w:p>
  </w:footnote>
  <w:footnote w:type="continuationSeparator" w:id="0">
    <w:p w14:paraId="1C0C5E21" w14:textId="77777777" w:rsidR="001E6438" w:rsidRDefault="001E6438" w:rsidP="00960B7D">
      <w:r>
        <w:continuationSeparator/>
      </w:r>
    </w:p>
  </w:footnote>
  <w:footnote w:type="continuationNotice" w:id="1">
    <w:p w14:paraId="59CDB2A2" w14:textId="77777777" w:rsidR="001E6438" w:rsidRDefault="001E6438"/>
  </w:footnote>
  <w:footnote w:id="2">
    <w:p w14:paraId="3DC0B049" w14:textId="6F156840" w:rsidR="00960B7D" w:rsidRDefault="00960B7D">
      <w:pPr>
        <w:pStyle w:val="FootnoteText"/>
      </w:pPr>
      <w:bookmarkStart w:id="0" w:name="_Hlk513453465"/>
      <w:r>
        <w:rPr>
          <w:rStyle w:val="FootnoteReference"/>
        </w:rPr>
        <w:footnoteRef/>
      </w:r>
      <w:bookmarkEnd w:id="0"/>
      <w:r>
        <w:t xml:space="preserve"> Materials from this session </w:t>
      </w:r>
      <w:r w:rsidR="002A1672">
        <w:t xml:space="preserve">and the 2018 session </w:t>
      </w:r>
      <w:r>
        <w:t xml:space="preserve">are posted at </w:t>
      </w:r>
      <w:r w:rsidR="002A1672" w:rsidRPr="002A1672">
        <w:rPr>
          <w:rStyle w:val="Hyperlink"/>
          <w:b/>
          <w:u w:val="none"/>
        </w:rPr>
        <w:t>https://fpg.unc.edu/presentations/all-each-and-every-2</w:t>
      </w:r>
      <w:r w:rsidR="007A7CD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196"/>
    <w:multiLevelType w:val="hybridMultilevel"/>
    <w:tmpl w:val="E268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20D5B"/>
    <w:multiLevelType w:val="hybridMultilevel"/>
    <w:tmpl w:val="1F127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0651E3"/>
    <w:multiLevelType w:val="hybridMultilevel"/>
    <w:tmpl w:val="E26835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404BFF"/>
    <w:multiLevelType w:val="hybridMultilevel"/>
    <w:tmpl w:val="93B04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714F87"/>
    <w:multiLevelType w:val="hybridMultilevel"/>
    <w:tmpl w:val="F93AE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FB0BD0"/>
    <w:multiLevelType w:val="hybridMultilevel"/>
    <w:tmpl w:val="D6922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515DF"/>
    <w:multiLevelType w:val="hybridMultilevel"/>
    <w:tmpl w:val="ECD65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144816"/>
    <w:multiLevelType w:val="hybridMultilevel"/>
    <w:tmpl w:val="4020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F3741"/>
    <w:multiLevelType w:val="hybridMultilevel"/>
    <w:tmpl w:val="D6B0D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9A5581"/>
    <w:multiLevelType w:val="hybridMultilevel"/>
    <w:tmpl w:val="E38E7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824B7A"/>
    <w:multiLevelType w:val="hybridMultilevel"/>
    <w:tmpl w:val="AC1A0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EE5CF4"/>
    <w:multiLevelType w:val="hybridMultilevel"/>
    <w:tmpl w:val="ABEC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4B0731"/>
    <w:multiLevelType w:val="hybridMultilevel"/>
    <w:tmpl w:val="0BEA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CE20EA"/>
    <w:multiLevelType w:val="hybridMultilevel"/>
    <w:tmpl w:val="34D2C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9331ED"/>
    <w:multiLevelType w:val="hybridMultilevel"/>
    <w:tmpl w:val="1BFE5626"/>
    <w:lvl w:ilvl="0" w:tplc="25F4628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1"/>
  </w:num>
  <w:num w:numId="4">
    <w:abstractNumId w:val="9"/>
  </w:num>
  <w:num w:numId="5">
    <w:abstractNumId w:val="0"/>
  </w:num>
  <w:num w:numId="6">
    <w:abstractNumId w:val="8"/>
  </w:num>
  <w:num w:numId="7">
    <w:abstractNumId w:val="10"/>
  </w:num>
  <w:num w:numId="8">
    <w:abstractNumId w:val="5"/>
  </w:num>
  <w:num w:numId="9">
    <w:abstractNumId w:val="2"/>
  </w:num>
  <w:num w:numId="10">
    <w:abstractNumId w:val="14"/>
  </w:num>
  <w:num w:numId="11">
    <w:abstractNumId w:val="4"/>
  </w:num>
  <w:num w:numId="12">
    <w:abstractNumId w:val="1"/>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8FF"/>
    <w:rsid w:val="000204B7"/>
    <w:rsid w:val="00031252"/>
    <w:rsid w:val="000442CE"/>
    <w:rsid w:val="000913FB"/>
    <w:rsid w:val="000A292E"/>
    <w:rsid w:val="000B47E2"/>
    <w:rsid w:val="000D0A14"/>
    <w:rsid w:val="000D30E6"/>
    <w:rsid w:val="00116F19"/>
    <w:rsid w:val="00124E06"/>
    <w:rsid w:val="00161301"/>
    <w:rsid w:val="00166D26"/>
    <w:rsid w:val="001B5A77"/>
    <w:rsid w:val="001C78B3"/>
    <w:rsid w:val="001E6438"/>
    <w:rsid w:val="001F585B"/>
    <w:rsid w:val="002031F1"/>
    <w:rsid w:val="0021615D"/>
    <w:rsid w:val="002A1672"/>
    <w:rsid w:val="00312579"/>
    <w:rsid w:val="00312CA4"/>
    <w:rsid w:val="00331045"/>
    <w:rsid w:val="003424FD"/>
    <w:rsid w:val="003563EC"/>
    <w:rsid w:val="003766B5"/>
    <w:rsid w:val="00377A98"/>
    <w:rsid w:val="003B11A7"/>
    <w:rsid w:val="003D03E0"/>
    <w:rsid w:val="003F594C"/>
    <w:rsid w:val="00402AAF"/>
    <w:rsid w:val="00416C6F"/>
    <w:rsid w:val="00426B51"/>
    <w:rsid w:val="004359F4"/>
    <w:rsid w:val="0043708F"/>
    <w:rsid w:val="0046403A"/>
    <w:rsid w:val="00480A3A"/>
    <w:rsid w:val="004877D1"/>
    <w:rsid w:val="00487A0F"/>
    <w:rsid w:val="004901F2"/>
    <w:rsid w:val="004B6DDD"/>
    <w:rsid w:val="004C5F5A"/>
    <w:rsid w:val="004E2A16"/>
    <w:rsid w:val="004F0AB2"/>
    <w:rsid w:val="004F76D8"/>
    <w:rsid w:val="005436CA"/>
    <w:rsid w:val="005628FF"/>
    <w:rsid w:val="00563DAA"/>
    <w:rsid w:val="005A279A"/>
    <w:rsid w:val="005C57C1"/>
    <w:rsid w:val="005D02E8"/>
    <w:rsid w:val="006160FE"/>
    <w:rsid w:val="006572FF"/>
    <w:rsid w:val="00657CC0"/>
    <w:rsid w:val="00676C1A"/>
    <w:rsid w:val="00692EBA"/>
    <w:rsid w:val="006B2B22"/>
    <w:rsid w:val="006B3C0D"/>
    <w:rsid w:val="00763F4B"/>
    <w:rsid w:val="00766037"/>
    <w:rsid w:val="00772E32"/>
    <w:rsid w:val="007A7CDC"/>
    <w:rsid w:val="007B1D73"/>
    <w:rsid w:val="007D7666"/>
    <w:rsid w:val="007E24F2"/>
    <w:rsid w:val="00804ED1"/>
    <w:rsid w:val="0082581C"/>
    <w:rsid w:val="00855E34"/>
    <w:rsid w:val="008600A3"/>
    <w:rsid w:val="008756E8"/>
    <w:rsid w:val="008823AB"/>
    <w:rsid w:val="008A056B"/>
    <w:rsid w:val="0091221B"/>
    <w:rsid w:val="00951781"/>
    <w:rsid w:val="00953804"/>
    <w:rsid w:val="00960B7D"/>
    <w:rsid w:val="009A089E"/>
    <w:rsid w:val="009B4004"/>
    <w:rsid w:val="009E243E"/>
    <w:rsid w:val="009F7C7E"/>
    <w:rsid w:val="009F7F4C"/>
    <w:rsid w:val="00A02069"/>
    <w:rsid w:val="00A02977"/>
    <w:rsid w:val="00A26562"/>
    <w:rsid w:val="00A73505"/>
    <w:rsid w:val="00A97CF4"/>
    <w:rsid w:val="00AA2549"/>
    <w:rsid w:val="00AA4A22"/>
    <w:rsid w:val="00AC6DD0"/>
    <w:rsid w:val="00AC788B"/>
    <w:rsid w:val="00AE6A36"/>
    <w:rsid w:val="00B60372"/>
    <w:rsid w:val="00B65759"/>
    <w:rsid w:val="00B837F4"/>
    <w:rsid w:val="00BB1888"/>
    <w:rsid w:val="00BE766F"/>
    <w:rsid w:val="00C07EF0"/>
    <w:rsid w:val="00C11176"/>
    <w:rsid w:val="00C43605"/>
    <w:rsid w:val="00C70CED"/>
    <w:rsid w:val="00C82346"/>
    <w:rsid w:val="00C874AD"/>
    <w:rsid w:val="00C957B3"/>
    <w:rsid w:val="00CC213D"/>
    <w:rsid w:val="00CE11C2"/>
    <w:rsid w:val="00CF71E2"/>
    <w:rsid w:val="00D1597B"/>
    <w:rsid w:val="00D4466C"/>
    <w:rsid w:val="00D74B56"/>
    <w:rsid w:val="00D77DD3"/>
    <w:rsid w:val="00D92283"/>
    <w:rsid w:val="00DB6062"/>
    <w:rsid w:val="00E461BF"/>
    <w:rsid w:val="00EA5F3C"/>
    <w:rsid w:val="00EC1A59"/>
    <w:rsid w:val="00EC385E"/>
    <w:rsid w:val="00ED46AE"/>
    <w:rsid w:val="00ED4985"/>
    <w:rsid w:val="00ED599B"/>
    <w:rsid w:val="00ED7780"/>
    <w:rsid w:val="00EE5A42"/>
    <w:rsid w:val="00F04569"/>
    <w:rsid w:val="00F25C52"/>
    <w:rsid w:val="00F41DF0"/>
    <w:rsid w:val="00F5722D"/>
    <w:rsid w:val="00FB233C"/>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438E"/>
  <w15:chartTrackingRefBased/>
  <w15:docId w15:val="{E076438A-9E87-40CC-8E58-BBD1DB39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E2A16"/>
    <w:pPr>
      <w:spacing w:before="100" w:beforeAutospacing="1" w:after="100" w:afterAutospacing="1"/>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8FF"/>
    <w:rPr>
      <w:color w:val="0563C1" w:themeColor="hyperlink"/>
      <w:u w:val="single"/>
    </w:rPr>
  </w:style>
  <w:style w:type="paragraph" w:styleId="ListParagraph">
    <w:name w:val="List Paragraph"/>
    <w:basedOn w:val="Normal"/>
    <w:uiPriority w:val="34"/>
    <w:qFormat/>
    <w:rsid w:val="00AE6A36"/>
    <w:pPr>
      <w:ind w:left="720"/>
      <w:contextualSpacing/>
    </w:pPr>
  </w:style>
  <w:style w:type="paragraph" w:styleId="NormalWeb">
    <w:name w:val="Normal (Web)"/>
    <w:basedOn w:val="Normal"/>
    <w:uiPriority w:val="99"/>
    <w:unhideWhenUsed/>
    <w:rsid w:val="00AE6A3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60B7D"/>
    <w:rPr>
      <w:sz w:val="20"/>
      <w:szCs w:val="20"/>
    </w:rPr>
  </w:style>
  <w:style w:type="character" w:customStyle="1" w:styleId="FootnoteTextChar">
    <w:name w:val="Footnote Text Char"/>
    <w:basedOn w:val="DefaultParagraphFont"/>
    <w:link w:val="FootnoteText"/>
    <w:uiPriority w:val="99"/>
    <w:semiHidden/>
    <w:rsid w:val="00960B7D"/>
    <w:rPr>
      <w:sz w:val="20"/>
      <w:szCs w:val="20"/>
    </w:rPr>
  </w:style>
  <w:style w:type="character" w:styleId="FootnoteReference">
    <w:name w:val="footnote reference"/>
    <w:basedOn w:val="DefaultParagraphFont"/>
    <w:uiPriority w:val="99"/>
    <w:semiHidden/>
    <w:unhideWhenUsed/>
    <w:rsid w:val="00960B7D"/>
    <w:rPr>
      <w:vertAlign w:val="superscript"/>
    </w:rPr>
  </w:style>
  <w:style w:type="character" w:customStyle="1" w:styleId="UnresolvedMention1">
    <w:name w:val="Unresolved Mention1"/>
    <w:basedOn w:val="DefaultParagraphFont"/>
    <w:uiPriority w:val="99"/>
    <w:semiHidden/>
    <w:unhideWhenUsed/>
    <w:rsid w:val="007A7CDC"/>
    <w:rPr>
      <w:color w:val="808080"/>
      <w:shd w:val="clear" w:color="auto" w:fill="E6E6E6"/>
    </w:rPr>
  </w:style>
  <w:style w:type="character" w:styleId="FollowedHyperlink">
    <w:name w:val="FollowedHyperlink"/>
    <w:basedOn w:val="DefaultParagraphFont"/>
    <w:uiPriority w:val="99"/>
    <w:semiHidden/>
    <w:unhideWhenUsed/>
    <w:rsid w:val="00C11176"/>
    <w:rPr>
      <w:color w:val="954F72" w:themeColor="followedHyperlink"/>
      <w:u w:val="single"/>
    </w:rPr>
  </w:style>
  <w:style w:type="paragraph" w:styleId="Header">
    <w:name w:val="header"/>
    <w:basedOn w:val="Normal"/>
    <w:link w:val="HeaderChar"/>
    <w:uiPriority w:val="99"/>
    <w:unhideWhenUsed/>
    <w:rsid w:val="00C82346"/>
    <w:pPr>
      <w:tabs>
        <w:tab w:val="center" w:pos="4680"/>
        <w:tab w:val="right" w:pos="9360"/>
      </w:tabs>
    </w:pPr>
  </w:style>
  <w:style w:type="character" w:customStyle="1" w:styleId="HeaderChar">
    <w:name w:val="Header Char"/>
    <w:basedOn w:val="DefaultParagraphFont"/>
    <w:link w:val="Header"/>
    <w:uiPriority w:val="99"/>
    <w:rsid w:val="00C82346"/>
  </w:style>
  <w:style w:type="paragraph" w:styleId="Footer">
    <w:name w:val="footer"/>
    <w:basedOn w:val="Normal"/>
    <w:link w:val="FooterChar"/>
    <w:uiPriority w:val="99"/>
    <w:unhideWhenUsed/>
    <w:rsid w:val="00C82346"/>
    <w:pPr>
      <w:tabs>
        <w:tab w:val="center" w:pos="4680"/>
        <w:tab w:val="right" w:pos="9360"/>
      </w:tabs>
    </w:pPr>
  </w:style>
  <w:style w:type="character" w:customStyle="1" w:styleId="FooterChar">
    <w:name w:val="Footer Char"/>
    <w:basedOn w:val="DefaultParagraphFont"/>
    <w:link w:val="Footer"/>
    <w:uiPriority w:val="99"/>
    <w:rsid w:val="00C82346"/>
  </w:style>
  <w:style w:type="table" w:styleId="TableGrid">
    <w:name w:val="Table Grid"/>
    <w:basedOn w:val="TableNormal"/>
    <w:uiPriority w:val="39"/>
    <w:rsid w:val="00C82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1C2"/>
    <w:pPr>
      <w:autoSpaceDE w:val="0"/>
      <w:autoSpaceDN w:val="0"/>
      <w:adjustRightInd w:val="0"/>
    </w:pPr>
    <w:rPr>
      <w:rFonts w:ascii="ITC Franklin Gothic Std Bk Cd" w:hAnsi="ITC Franklin Gothic Std Bk Cd" w:cs="ITC Franklin Gothic Std Bk Cd"/>
      <w:color w:val="000000"/>
      <w:sz w:val="24"/>
      <w:szCs w:val="24"/>
    </w:rPr>
  </w:style>
  <w:style w:type="character" w:styleId="UnresolvedMention">
    <w:name w:val="Unresolved Mention"/>
    <w:basedOn w:val="DefaultParagraphFont"/>
    <w:uiPriority w:val="99"/>
    <w:semiHidden/>
    <w:unhideWhenUsed/>
    <w:rsid w:val="00951781"/>
    <w:rPr>
      <w:color w:val="605E5C"/>
      <w:shd w:val="clear" w:color="auto" w:fill="E1DFDD"/>
    </w:rPr>
  </w:style>
  <w:style w:type="character" w:customStyle="1" w:styleId="Heading2Char">
    <w:name w:val="Heading 2 Char"/>
    <w:basedOn w:val="DefaultParagraphFont"/>
    <w:link w:val="Heading2"/>
    <w:uiPriority w:val="9"/>
    <w:semiHidden/>
    <w:rsid w:val="004E2A16"/>
    <w:rPr>
      <w:rFonts w:ascii="Calibri" w:hAnsi="Calibri" w:cs="Calibri"/>
      <w:b/>
      <w:bCs/>
      <w:sz w:val="36"/>
      <w:szCs w:val="36"/>
    </w:rPr>
  </w:style>
  <w:style w:type="character" w:styleId="Strong">
    <w:name w:val="Strong"/>
    <w:basedOn w:val="DefaultParagraphFont"/>
    <w:uiPriority w:val="22"/>
    <w:qFormat/>
    <w:rsid w:val="00C70CED"/>
    <w:rPr>
      <w:b/>
      <w:bCs/>
    </w:rPr>
  </w:style>
  <w:style w:type="table" w:customStyle="1" w:styleId="TableGrid1">
    <w:name w:val="Table Grid1"/>
    <w:basedOn w:val="TableNormal"/>
    <w:next w:val="TableGrid"/>
    <w:rsid w:val="00FF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14691">
      <w:bodyDiv w:val="1"/>
      <w:marLeft w:val="0"/>
      <w:marRight w:val="0"/>
      <w:marTop w:val="0"/>
      <w:marBottom w:val="0"/>
      <w:divBdr>
        <w:top w:val="none" w:sz="0" w:space="0" w:color="auto"/>
        <w:left w:val="none" w:sz="0" w:space="0" w:color="auto"/>
        <w:bottom w:val="none" w:sz="0" w:space="0" w:color="auto"/>
        <w:right w:val="none" w:sz="0" w:space="0" w:color="auto"/>
      </w:divBdr>
    </w:div>
    <w:div w:id="1306621535">
      <w:bodyDiv w:val="1"/>
      <w:marLeft w:val="0"/>
      <w:marRight w:val="0"/>
      <w:marTop w:val="0"/>
      <w:marBottom w:val="0"/>
      <w:divBdr>
        <w:top w:val="none" w:sz="0" w:space="0" w:color="auto"/>
        <w:left w:val="none" w:sz="0" w:space="0" w:color="auto"/>
        <w:bottom w:val="none" w:sz="0" w:space="0" w:color="auto"/>
        <w:right w:val="none" w:sz="0" w:space="0" w:color="auto"/>
      </w:divBdr>
    </w:div>
    <w:div w:id="13105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catlett@unc.edu" TargetMode="External"/><Relationship Id="rId13" Type="http://schemas.openxmlformats.org/officeDocument/2006/relationships/hyperlink" Target="https://www.naeyc.org/resources/position-statements/equity-draft" TargetMode="External"/><Relationship Id="rId18" Type="http://schemas.openxmlformats.org/officeDocument/2006/relationships/hyperlink" Target="http://challengingbehavior.cbcs.usf.edu/docs/RoutineSupportGuide_class_early_elementary.pdf" TargetMode="External"/><Relationship Id="rId26" Type="http://schemas.openxmlformats.org/officeDocument/2006/relationships/hyperlink" Target="https://lnks.gd/l/eyJhbGciOiJIUzI1NiJ9.eyJlbWFpbCI6ImNhbWlsbGUuY2F0bGV0dEB1bmMuZWR1IiwiYnVsbGV0aW5fbGlua19pZCI6IjEyNyIsInN1YnNjcmliZXJfaWQiOiIyMDI4OTI2ODIiLCJsaW5rX2lkIjoiNTY0Mzc5MDA5IiwidXJpIjoiYnAyOmRpZ2VzdCIsInVybCI6Imh0dHBzOi8vY2hhbGxlbmdpbmdiZWhhdmlvci5jYmNzLnVzZi5lZHUvZG9jcy9Db21tdW5pY2F0aW5nLXdpdGgtRmFtaWxpZXMucGRmP3V0bV9jb250ZW50PSZ1dG1fbWVkaXVtPWVtYWlsJnV0bV9uYW1lPSZ1dG1fc291cmNlPWdvdmRlbGl2ZXJ5JnV0bV90ZXJtPSIsImJ1bGxldGluX2lkIjoiMjAxOTA0MjkuNTI2ODc3MSJ9.43aIsNVwkIRXFjS2bcymyVXW8Okj_kU4-LDHTxpstG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de.state.co.us/resultsmatter/rmvideoseries" TargetMode="External"/><Relationship Id="rId34" Type="http://schemas.openxmlformats.org/officeDocument/2006/relationships/image" Target="https://content.govdelivery.com/attachments/fancy_images/USED/2019/04/2537000/2665596/stemie_crop.png" TargetMode="External"/><Relationship Id="rId7" Type="http://schemas.openxmlformats.org/officeDocument/2006/relationships/endnotes" Target="endnotes.xml"/><Relationship Id="rId12" Type="http://schemas.openxmlformats.org/officeDocument/2006/relationships/hyperlink" Target="https://www.naeyc.org/resources/position-statements/draft-professional-standards-competencies" TargetMode="External"/><Relationship Id="rId17" Type="http://schemas.openxmlformats.org/officeDocument/2006/relationships/hyperlink" Target="http://challengingbehavior.cbcs.usf.edu/docs/ttyc/TTYC_RoutineBasedSupportGuide.pdf" TargetMode="External"/><Relationship Id="rId25" Type="http://schemas.openxmlformats.org/officeDocument/2006/relationships/hyperlink" Target="https://lnks.gd/l/eyJhbGciOiJIUzI1NiJ9.eyJlbWFpbCI6ImNhbWlsbGUuY2F0bGV0dEB1bmMuZWR1IiwiYnVsbGV0aW5fbGlua19pZCI6IjEyNSIsInN1YnNjcmliZXJfaWQiOiIyMDI4OTI2ODIiLCJsaW5rX2lkIjoiNTY0Mzc5MDM3IiwidXJpIjoiYnAyOmRpZ2VzdCIsInVybCI6Imh0dHBzOi8vY2hhbGxlbmdpbmdiZWhhdmlvci5jYmNzLnVzZi5lZHU_dXRtX2NvbnRlbnQ9JnV0bV9tZWRpdW09ZW1haWwmdXRtX25hbWU9JnV0bV9zb3VyY2U9Z292ZGVsaXZlcnkmdXRtX3Rlcm09IiwiYnVsbGV0aW5faWQiOiIyMDE5MDQyOS41MjY4NzcxIn0.agh1PyrRSX8X6EU2KezUugaF7JlVDC15L_8fxpp0Rf0" TargetMode="External"/><Relationship Id="rId33" Type="http://schemas.openxmlformats.org/officeDocument/2006/relationships/hyperlink" Target="http://fpg.unc.edu/presentations/vermont-resource-collection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dci.fpg.unc.edu/sites/npdci.fpg.unc.edu/files/resources/NPDCI-ResearchSynthesisPointsInclusivePractices-2011_0.pdf" TargetMode="External"/><Relationship Id="rId20" Type="http://schemas.openxmlformats.org/officeDocument/2006/relationships/hyperlink" Target="https://www.youtube.com/watch?v=1MJrRvpjB1I" TargetMode="External"/><Relationship Id="rId29" Type="http://schemas.openxmlformats.org/officeDocument/2006/relationships/hyperlink" Target="https://www.youtube.com/watch?v=fZZ8zpQPP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yc.org/our-work/initiatives/profession/decision-cycles/power-profession-decision-cycles-3456" TargetMode="External"/><Relationship Id="rId24" Type="http://schemas.openxmlformats.org/officeDocument/2006/relationships/hyperlink" Target="https://challengingbehavior.cbcs.usf.edu/docs/Communicating-with-Families.pdf?utm_content=&amp;utm_medium=email&amp;utm_name=&amp;utm_source=govdelivery&amp;utm_term" TargetMode="External"/><Relationship Id="rId32" Type="http://schemas.openxmlformats.org/officeDocument/2006/relationships/hyperlink" Target="http://fpg.unc.edu/presentations/vermont-resource-collection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tacenter.org/~pdfs/topics/inclusion/research/Research_Supporting_Preschool_Inclusion_R.pdf" TargetMode="External"/><Relationship Id="rId23" Type="http://schemas.openxmlformats.org/officeDocument/2006/relationships/hyperlink" Target="http://www.communityplaythings.com/resources/articles/2015/what-is-inclusion" TargetMode="External"/><Relationship Id="rId28" Type="http://schemas.openxmlformats.org/officeDocument/2006/relationships/hyperlink" Target="https://blog.brookespublishing.com/" TargetMode="External"/><Relationship Id="rId36" Type="http://schemas.openxmlformats.org/officeDocument/2006/relationships/hyperlink" Target="https://cbsn.ws/2Ihp9pd" TargetMode="External"/><Relationship Id="rId10" Type="http://schemas.openxmlformats.org/officeDocument/2006/relationships/hyperlink" Target="https://www.naeyc.org/our-work/initiatives/profession" TargetMode="External"/><Relationship Id="rId19" Type="http://schemas.openxmlformats.org/officeDocument/2006/relationships/hyperlink" Target="http://ici.umn.edu/products/impact/221/9.html" TargetMode="External"/><Relationship Id="rId31" Type="http://schemas.openxmlformats.org/officeDocument/2006/relationships/hyperlink" Target="http://fpg.unc.edu/presentations/vermont-resource-collections" TargetMode="External"/><Relationship Id="rId4" Type="http://schemas.openxmlformats.org/officeDocument/2006/relationships/settings" Target="settings.xml"/><Relationship Id="rId9" Type="http://schemas.openxmlformats.org/officeDocument/2006/relationships/hyperlink" Target="http://www.nationalacademies.org/hmd/Reports/2015/Birth-To-Eight.aspx" TargetMode="External"/><Relationship Id="rId14" Type="http://schemas.openxmlformats.org/officeDocument/2006/relationships/hyperlink" Target="https://reports.innovateschools.org/wp-content/uploads/2018/05/An-Advocates-Guide-to-Transforming-Special-Education.pdf" TargetMode="External"/><Relationship Id="rId22" Type="http://schemas.openxmlformats.org/officeDocument/2006/relationships/hyperlink" Target="https://rpm.fpg.unc.edu/" TargetMode="External"/><Relationship Id="rId27" Type="http://schemas.openxmlformats.org/officeDocument/2006/relationships/hyperlink" Target="https://www.earlyedualliance.org/membership-registration/" TargetMode="External"/><Relationship Id="rId30" Type="http://schemas.openxmlformats.org/officeDocument/2006/relationships/hyperlink" Target="http://fpg.unc.edu/presentations/vermont-resource-collections" TargetMode="External"/><Relationship Id="rId35" Type="http://schemas.openxmlformats.org/officeDocument/2006/relationships/hyperlink" Target="https://stemie.fpg.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F6D9-D49A-4EA5-80F4-C0A0540F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3</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63</cp:revision>
  <cp:lastPrinted>2019-05-08T15:49:00Z</cp:lastPrinted>
  <dcterms:created xsi:type="dcterms:W3CDTF">2019-04-26T19:16:00Z</dcterms:created>
  <dcterms:modified xsi:type="dcterms:W3CDTF">2019-05-08T15:51:00Z</dcterms:modified>
</cp:coreProperties>
</file>