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E995" w14:textId="47DF00DE" w:rsidR="00CA3D83" w:rsidRPr="0032451F" w:rsidRDefault="007B6FB4" w:rsidP="00CA3D83">
      <w:pPr>
        <w:jc w:val="center"/>
        <w:textAlignment w:val="baseline"/>
        <w:rPr>
          <w:rFonts w:ascii="Calibri" w:eastAsia="Times New Roman" w:hAnsi="Calibri" w:cs="Calibri"/>
          <w:b/>
          <w:sz w:val="32"/>
          <w:szCs w:val="24"/>
        </w:rPr>
      </w:pPr>
      <w:r>
        <w:rPr>
          <w:rFonts w:ascii="Calibri" w:eastAsia="Times New Roman" w:hAnsi="Calibri" w:cs="Calibri"/>
          <w:b/>
          <w:sz w:val="32"/>
          <w:szCs w:val="24"/>
        </w:rPr>
        <w:softHyphen/>
      </w:r>
      <w:r>
        <w:rPr>
          <w:rFonts w:ascii="Calibri" w:eastAsia="Times New Roman" w:hAnsi="Calibri" w:cs="Calibri"/>
          <w:b/>
          <w:sz w:val="32"/>
          <w:szCs w:val="24"/>
        </w:rPr>
        <w:softHyphen/>
      </w:r>
      <w:bookmarkStart w:id="0" w:name="_GoBack"/>
      <w:bookmarkEnd w:id="0"/>
      <w:r w:rsidR="00CA3D83" w:rsidRPr="0032451F">
        <w:rPr>
          <w:rFonts w:ascii="Calibri" w:eastAsia="Times New Roman" w:hAnsi="Calibri" w:cs="Calibri"/>
          <w:b/>
          <w:sz w:val="32"/>
          <w:szCs w:val="24"/>
        </w:rPr>
        <w:t>Equity and Inclusion Reflection Tool</w:t>
      </w:r>
    </w:p>
    <w:p w14:paraId="66ABDF7B" w14:textId="77777777" w:rsidR="00CA3D83" w:rsidRPr="0032451F" w:rsidRDefault="00CA3D83" w:rsidP="00CA3D83">
      <w:pPr>
        <w:jc w:val="center"/>
        <w:textAlignment w:val="baseline"/>
        <w:rPr>
          <w:rFonts w:ascii="Calibri" w:eastAsia="Times New Roman" w:hAnsi="Calibri" w:cs="Calibri"/>
          <w:b/>
          <w:sz w:val="8"/>
          <w:szCs w:val="16"/>
        </w:rPr>
      </w:pPr>
    </w:p>
    <w:tbl>
      <w:tblPr>
        <w:tblStyle w:val="TableGrid1"/>
        <w:tblW w:w="0" w:type="auto"/>
        <w:tblInd w:w="-185" w:type="dxa"/>
        <w:tblLook w:val="04A0" w:firstRow="1" w:lastRow="0" w:firstColumn="1" w:lastColumn="0" w:noHBand="0" w:noVBand="1"/>
      </w:tblPr>
      <w:tblGrid>
        <w:gridCol w:w="5670"/>
        <w:gridCol w:w="1530"/>
        <w:gridCol w:w="3510"/>
        <w:gridCol w:w="3289"/>
      </w:tblGrid>
      <w:tr w:rsidR="00CA3D83" w:rsidRPr="0032451F" w14:paraId="02976C44" w14:textId="77777777" w:rsidTr="00D84B3D">
        <w:tc>
          <w:tcPr>
            <w:tcW w:w="5670" w:type="dxa"/>
            <w:shd w:val="clear" w:color="auto" w:fill="DEEAF6"/>
            <w:vAlign w:val="center"/>
          </w:tcPr>
          <w:p w14:paraId="6AA9672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Self-Audit</w:t>
            </w:r>
          </w:p>
        </w:tc>
        <w:tc>
          <w:tcPr>
            <w:tcW w:w="1530" w:type="dxa"/>
            <w:shd w:val="clear" w:color="auto" w:fill="DEEAF6"/>
          </w:tcPr>
          <w:p w14:paraId="7FE7D5A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Agree/</w:t>
            </w:r>
          </w:p>
          <w:p w14:paraId="7BFB68BC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Disagree</w:t>
            </w:r>
          </w:p>
        </w:tc>
        <w:tc>
          <w:tcPr>
            <w:tcW w:w="3510" w:type="dxa"/>
            <w:shd w:val="clear" w:color="auto" w:fill="DEEAF6"/>
          </w:tcPr>
          <w:p w14:paraId="76EE002F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if agree, what is an example of how you do that?</w:t>
            </w:r>
          </w:p>
        </w:tc>
        <w:tc>
          <w:tcPr>
            <w:tcW w:w="3289" w:type="dxa"/>
            <w:shd w:val="clear" w:color="auto" w:fill="DEEAF6"/>
          </w:tcPr>
          <w:p w14:paraId="238A1013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b/>
                <w:caps/>
                <w:sz w:val="20"/>
                <w:szCs w:val="24"/>
              </w:rPr>
            </w:pPr>
            <w:r w:rsidRPr="0032451F">
              <w:rPr>
                <w:rFonts w:eastAsia="Times New Roman" w:cs="Calibri"/>
                <w:b/>
                <w:caps/>
                <w:sz w:val="20"/>
                <w:szCs w:val="24"/>
              </w:rPr>
              <w:t>If disagree, what might you try to MOVE toward agreement?</w:t>
            </w:r>
          </w:p>
        </w:tc>
      </w:tr>
      <w:tr w:rsidR="00CA3D83" w:rsidRPr="0032451F" w14:paraId="7B983A37" w14:textId="77777777" w:rsidTr="00D84B3D">
        <w:tc>
          <w:tcPr>
            <w:tcW w:w="5670" w:type="dxa"/>
            <w:shd w:val="clear" w:color="auto" w:fill="DEEAF6"/>
          </w:tcPr>
          <w:p w14:paraId="06212B7F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uphold the unique value and dignity of each and every child and family.</w:t>
            </w:r>
          </w:p>
        </w:tc>
        <w:tc>
          <w:tcPr>
            <w:tcW w:w="1530" w:type="dxa"/>
          </w:tcPr>
          <w:p w14:paraId="418E62D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0E73537A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79563766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66B5C036" w14:textId="77777777" w:rsidTr="00D84B3D">
        <w:tc>
          <w:tcPr>
            <w:tcW w:w="5670" w:type="dxa"/>
            <w:shd w:val="clear" w:color="auto" w:fill="DEEAF6"/>
          </w:tcPr>
          <w:p w14:paraId="19FE3B0E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recognize each and every child’s unique strengths and support the inclusion of all children – given differences in culture, family structure, language, racial identity, gender, abilities, and economic class.</w:t>
            </w:r>
          </w:p>
        </w:tc>
        <w:tc>
          <w:tcPr>
            <w:tcW w:w="1530" w:type="dxa"/>
          </w:tcPr>
          <w:p w14:paraId="492C514A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44376F7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1DBC953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036A0B5C" w14:textId="77777777" w:rsidTr="00D84B3D">
        <w:tc>
          <w:tcPr>
            <w:tcW w:w="5670" w:type="dxa"/>
            <w:shd w:val="clear" w:color="auto" w:fill="DEEAF6"/>
          </w:tcPr>
          <w:p w14:paraId="659BD844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develop trusting relationships with each and every child that build on their knowledge and skills.</w:t>
            </w:r>
          </w:p>
        </w:tc>
        <w:tc>
          <w:tcPr>
            <w:tcW w:w="1530" w:type="dxa"/>
          </w:tcPr>
          <w:p w14:paraId="26C4A43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0DB8619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60B463E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10083112" w14:textId="77777777" w:rsidTr="00D84B3D">
        <w:tc>
          <w:tcPr>
            <w:tcW w:w="5670" w:type="dxa"/>
            <w:shd w:val="clear" w:color="auto" w:fill="DEEAF6"/>
          </w:tcPr>
          <w:p w14:paraId="16428BDC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consider the developmental, cultural, linguistic, and individual appropriateness of the learning environment and my teaching practices for each and every child.</w:t>
            </w:r>
          </w:p>
        </w:tc>
        <w:tc>
          <w:tcPr>
            <w:tcW w:w="1530" w:type="dxa"/>
          </w:tcPr>
          <w:p w14:paraId="11FC3CAF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14B0BD2D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5B561248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516B6530" w14:textId="77777777" w:rsidTr="00D84B3D">
        <w:tc>
          <w:tcPr>
            <w:tcW w:w="5670" w:type="dxa"/>
            <w:shd w:val="clear" w:color="auto" w:fill="DEEAF6"/>
          </w:tcPr>
          <w:p w14:paraId="254F3C02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involve children, families, and the community in the design and implementation of learning activities.</w:t>
            </w:r>
          </w:p>
        </w:tc>
        <w:tc>
          <w:tcPr>
            <w:tcW w:w="1530" w:type="dxa"/>
          </w:tcPr>
          <w:p w14:paraId="6BBDE29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EAB31E4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38A5F316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56C9397B" w14:textId="77777777" w:rsidTr="00D84B3D">
        <w:tc>
          <w:tcPr>
            <w:tcW w:w="5670" w:type="dxa"/>
            <w:shd w:val="clear" w:color="auto" w:fill="DEEAF6"/>
          </w:tcPr>
          <w:p w14:paraId="2015C63F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actively promote children’s agency (e.g., provide opportunities for rich, engaging play; support learning across all areas of development and curriculum).</w:t>
            </w:r>
          </w:p>
        </w:tc>
        <w:tc>
          <w:tcPr>
            <w:tcW w:w="1530" w:type="dxa"/>
          </w:tcPr>
          <w:p w14:paraId="7E631043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3973CF14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2ADC0C1B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74E4F318" w14:textId="77777777" w:rsidTr="00D84B3D">
        <w:tc>
          <w:tcPr>
            <w:tcW w:w="5670" w:type="dxa"/>
            <w:shd w:val="clear" w:color="auto" w:fill="DEEAF6"/>
          </w:tcPr>
          <w:p w14:paraId="00AEFD14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scaffold children’s learning to achieve meaningful goals.</w:t>
            </w:r>
          </w:p>
        </w:tc>
        <w:tc>
          <w:tcPr>
            <w:tcW w:w="1530" w:type="dxa"/>
          </w:tcPr>
          <w:p w14:paraId="542F902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3FB90DBE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39510977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04E60C17" w14:textId="77777777" w:rsidTr="00D84B3D">
        <w:tc>
          <w:tcPr>
            <w:tcW w:w="5670" w:type="dxa"/>
            <w:shd w:val="clear" w:color="auto" w:fill="DEEAF6"/>
          </w:tcPr>
          <w:p w14:paraId="0E4EC9E5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design and implement learning activities using language(s) that the children understand.</w:t>
            </w:r>
          </w:p>
        </w:tc>
        <w:tc>
          <w:tcPr>
            <w:tcW w:w="1530" w:type="dxa"/>
          </w:tcPr>
          <w:p w14:paraId="7FA4188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554CDD2F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00CE497E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5E9C4DA2" w14:textId="77777777" w:rsidTr="00D84B3D">
        <w:tc>
          <w:tcPr>
            <w:tcW w:w="5670" w:type="dxa"/>
            <w:shd w:val="clear" w:color="auto" w:fill="DEEAF6"/>
          </w:tcPr>
          <w:p w14:paraId="086A935F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 xml:space="preserve">I recognize and am prepared to provide different levels of support to different children depending on what they need. </w:t>
            </w:r>
          </w:p>
        </w:tc>
        <w:tc>
          <w:tcPr>
            <w:tcW w:w="1530" w:type="dxa"/>
          </w:tcPr>
          <w:p w14:paraId="7BA44748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684F96B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5054C1D1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54AA3F60" w14:textId="77777777" w:rsidTr="00D84B3D">
        <w:tc>
          <w:tcPr>
            <w:tcW w:w="5670" w:type="dxa"/>
            <w:shd w:val="clear" w:color="auto" w:fill="DEEAF6"/>
          </w:tcPr>
          <w:p w14:paraId="2D5B3078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consider how my own biases (implicit and explicit) may be contributing to my interactions and relationships with particular children and families.</w:t>
            </w:r>
          </w:p>
        </w:tc>
        <w:tc>
          <w:tcPr>
            <w:tcW w:w="1530" w:type="dxa"/>
          </w:tcPr>
          <w:p w14:paraId="1E5F45A9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4800249C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488941B3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  <w:tr w:rsidR="00CA3D83" w:rsidRPr="0032451F" w14:paraId="4575894D" w14:textId="77777777" w:rsidTr="00D84B3D">
        <w:tc>
          <w:tcPr>
            <w:tcW w:w="5670" w:type="dxa"/>
            <w:shd w:val="clear" w:color="auto" w:fill="DEEAF6"/>
          </w:tcPr>
          <w:p w14:paraId="224E2D6E" w14:textId="77777777" w:rsidR="00CA3D83" w:rsidRPr="0032451F" w:rsidRDefault="00CA3D83" w:rsidP="00CA3D83">
            <w:pPr>
              <w:numPr>
                <w:ilvl w:val="0"/>
                <w:numId w:val="1"/>
              </w:numPr>
              <w:textAlignment w:val="baseline"/>
              <w:rPr>
                <w:rFonts w:eastAsia="Times New Roman" w:cs="Calibri"/>
                <w:sz w:val="22"/>
              </w:rPr>
            </w:pPr>
            <w:r w:rsidRPr="0032451F">
              <w:rPr>
                <w:rFonts w:eastAsia="Times New Roman" w:cs="Calibri"/>
                <w:sz w:val="22"/>
              </w:rPr>
              <w:t>I use multi-tiered systems of support.</w:t>
            </w:r>
          </w:p>
        </w:tc>
        <w:tc>
          <w:tcPr>
            <w:tcW w:w="1530" w:type="dxa"/>
          </w:tcPr>
          <w:p w14:paraId="2C31897D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  <w:p w14:paraId="0374408E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510" w:type="dxa"/>
          </w:tcPr>
          <w:p w14:paraId="1DDD2748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  <w:tc>
          <w:tcPr>
            <w:tcW w:w="3289" w:type="dxa"/>
          </w:tcPr>
          <w:p w14:paraId="4838C8A0" w14:textId="77777777" w:rsidR="00CA3D83" w:rsidRPr="0032451F" w:rsidRDefault="00CA3D83" w:rsidP="00D84B3D">
            <w:pPr>
              <w:jc w:val="center"/>
              <w:textAlignment w:val="baseline"/>
              <w:rPr>
                <w:rFonts w:eastAsia="Times New Roman" w:cs="Calibri"/>
                <w:szCs w:val="24"/>
              </w:rPr>
            </w:pPr>
          </w:p>
        </w:tc>
      </w:tr>
    </w:tbl>
    <w:p w14:paraId="49212D62" w14:textId="77777777" w:rsidR="00CA3D83" w:rsidRPr="0032451F" w:rsidRDefault="00CA3D83" w:rsidP="00CA3D83">
      <w:pPr>
        <w:keepNext/>
        <w:keepLines/>
        <w:outlineLvl w:val="0"/>
        <w:rPr>
          <w:rFonts w:ascii="Calibri" w:eastAsia="Calibri" w:hAnsi="Calibri" w:cs="Calibri"/>
          <w:sz w:val="16"/>
          <w:szCs w:val="16"/>
        </w:rPr>
      </w:pPr>
    </w:p>
    <w:p w14:paraId="18D6DD59" w14:textId="77777777" w:rsidR="00CA3D83" w:rsidRPr="0032451F" w:rsidRDefault="00CA3D83" w:rsidP="00CA3D83">
      <w:pPr>
        <w:keepNext/>
        <w:keepLines/>
        <w:outlineLvl w:val="0"/>
        <w:rPr>
          <w:rFonts w:ascii="Calibri" w:eastAsia="Times New Roman" w:hAnsi="Calibri" w:cs="Calibri"/>
          <w:b/>
          <w:color w:val="385623"/>
          <w:sz w:val="16"/>
          <w:szCs w:val="32"/>
        </w:rPr>
      </w:pPr>
      <w:r w:rsidRPr="0032451F">
        <w:rPr>
          <w:rFonts w:ascii="Calibri" w:eastAsia="Calibri" w:hAnsi="Calibri" w:cs="Calibri"/>
        </w:rPr>
        <w:t xml:space="preserve">Adapted from the NAEYC position statement </w:t>
      </w:r>
      <w:r w:rsidRPr="0032451F">
        <w:rPr>
          <w:rFonts w:ascii="Calibri" w:eastAsia="Times New Roman" w:hAnsi="Calibri" w:cs="Calibri"/>
          <w:i/>
          <w:color w:val="385623"/>
          <w:szCs w:val="32"/>
        </w:rPr>
        <w:t xml:space="preserve">Advancing Equity in Early Childhood Education </w:t>
      </w:r>
      <w:r w:rsidRPr="0032451F">
        <w:rPr>
          <w:rFonts w:ascii="Calibri" w:eastAsia="Times New Roman" w:hAnsi="Calibri" w:cs="Calibri"/>
          <w:color w:val="385623"/>
          <w:szCs w:val="32"/>
        </w:rPr>
        <w:t>(p. 4-6)</w:t>
      </w:r>
      <w:r w:rsidRPr="0032451F">
        <w:rPr>
          <w:rFonts w:ascii="Calibri" w:eastAsia="Times New Roman" w:hAnsi="Calibri" w:cs="Calibri"/>
          <w:b/>
          <w:color w:val="385623"/>
          <w:szCs w:val="32"/>
        </w:rPr>
        <w:t xml:space="preserve"> </w:t>
      </w:r>
      <w:hyperlink r:id="rId8" w:history="1">
        <w:r w:rsidRPr="0032451F">
          <w:rPr>
            <w:rFonts w:ascii="Calibri" w:eastAsia="Calibri" w:hAnsi="Calibri" w:cs="Times New Roman"/>
            <w:b/>
            <w:color w:val="0563C1"/>
            <w:sz w:val="16"/>
          </w:rPr>
          <w:t>https://www.naeyc.org/resources/position-statements/equity-draft</w:t>
        </w:r>
      </w:hyperlink>
    </w:p>
    <w:p w14:paraId="05F66385" w14:textId="77777777" w:rsidR="00090A36" w:rsidRDefault="00090A36"/>
    <w:sectPr w:rsidR="00090A36" w:rsidSect="00CA3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91892"/>
    <w:multiLevelType w:val="hybridMultilevel"/>
    <w:tmpl w:val="985C8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83"/>
    <w:rsid w:val="00090A36"/>
    <w:rsid w:val="002123C7"/>
    <w:rsid w:val="004A4BAF"/>
    <w:rsid w:val="007B6FB4"/>
    <w:rsid w:val="00CA3D83"/>
    <w:rsid w:val="00E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90CF"/>
  <w15:chartTrackingRefBased/>
  <w15:docId w15:val="{E4AEA2A1-8920-4311-8302-69238AD5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3D83"/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resources/position-statements/equity-draf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4A5C93DFCE47A7E88F2CBFFE1A74" ma:contentTypeVersion="13" ma:contentTypeDescription="Create a new document." ma:contentTypeScope="" ma:versionID="fe93f2d7b338d293069ef9f8cde68eeb">
  <xsd:schema xmlns:xsd="http://www.w3.org/2001/XMLSchema" xmlns:xs="http://www.w3.org/2001/XMLSchema" xmlns:p="http://schemas.microsoft.com/office/2006/metadata/properties" xmlns:ns3="f89ee93e-f984-487e-8759-9f23d58a7dc3" xmlns:ns4="4e37303e-cfb8-4960-b624-c424631cc236" targetNamespace="http://schemas.microsoft.com/office/2006/metadata/properties" ma:root="true" ma:fieldsID="a921600d0145e158c991204b6f5f7d8e" ns3:_="" ns4:_="">
    <xsd:import namespace="f89ee93e-f984-487e-8759-9f23d58a7dc3"/>
    <xsd:import namespace="4e37303e-cfb8-4960-b624-c424631cc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e93e-f984-487e-8759-9f23d58a7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303e-cfb8-4960-b624-c424631cc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8337C-E1C9-417C-8DFB-CA2F6BCED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e93e-f984-487e-8759-9f23d58a7dc3"/>
    <ds:schemaRef ds:uri="4e37303e-cfb8-4960-b624-c424631cc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35C5F-F7EC-4750-9627-C799B4BE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E696-2B3A-44F3-9E56-C77F0CF7E1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Camille Catlett</cp:lastModifiedBy>
  <cp:revision>3</cp:revision>
  <dcterms:created xsi:type="dcterms:W3CDTF">2019-09-11T21:27:00Z</dcterms:created>
  <dcterms:modified xsi:type="dcterms:W3CDTF">2019-11-15T15:37:00Z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0x010100B5D24A5C93DFCE47A7E88F2CBFFE1A74</vt:lpwstr>
  </property>
</Properties>
</file>