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D6258" w14:textId="712474E8" w:rsidR="0079083D" w:rsidRPr="00462C96" w:rsidRDefault="001F3ED3" w:rsidP="006011DF">
      <w:pPr>
        <w:spacing w:after="0" w:line="240" w:lineRule="auto"/>
        <w:jc w:val="center"/>
        <w:rPr>
          <w:b/>
          <w:sz w:val="28"/>
        </w:rPr>
      </w:pPr>
      <w:bookmarkStart w:id="0" w:name="_GoBack"/>
      <w:r>
        <w:rPr>
          <w:b/>
          <w:sz w:val="28"/>
        </w:rPr>
        <w:t xml:space="preserve">Research and </w:t>
      </w:r>
      <w:r w:rsidR="00BE3E7B" w:rsidRPr="00462C96">
        <w:rPr>
          <w:b/>
          <w:sz w:val="28"/>
        </w:rPr>
        <w:t xml:space="preserve">Evidence for the </w:t>
      </w:r>
      <w:r w:rsidR="009F542C" w:rsidRPr="00462C96">
        <w:rPr>
          <w:b/>
          <w:sz w:val="28"/>
        </w:rPr>
        <w:t xml:space="preserve">Vermont </w:t>
      </w:r>
      <w:r w:rsidR="00BE3E7B" w:rsidRPr="00462C96">
        <w:rPr>
          <w:b/>
          <w:sz w:val="28"/>
        </w:rPr>
        <w:t>Guiding Principles</w:t>
      </w:r>
    </w:p>
    <w:p w14:paraId="64E7CE57" w14:textId="77777777" w:rsidR="009A155D" w:rsidRPr="00462C96" w:rsidRDefault="009A155D" w:rsidP="00BE3E7B">
      <w:pPr>
        <w:spacing w:after="0" w:line="240" w:lineRule="auto"/>
        <w:rPr>
          <w:b/>
          <w:sz w:val="16"/>
        </w:rPr>
      </w:pPr>
    </w:p>
    <w:tbl>
      <w:tblPr>
        <w:tblStyle w:val="TableGrid"/>
        <w:tblW w:w="13415" w:type="dxa"/>
        <w:jc w:val="center"/>
        <w:tblLayout w:type="fixed"/>
        <w:tblLook w:val="04A0" w:firstRow="1" w:lastRow="0" w:firstColumn="1" w:lastColumn="0" w:noHBand="0" w:noVBand="1"/>
      </w:tblPr>
      <w:tblGrid>
        <w:gridCol w:w="2695"/>
        <w:gridCol w:w="15"/>
        <w:gridCol w:w="10"/>
        <w:gridCol w:w="245"/>
        <w:gridCol w:w="450"/>
        <w:gridCol w:w="10"/>
        <w:gridCol w:w="9455"/>
        <w:gridCol w:w="10"/>
        <w:gridCol w:w="250"/>
        <w:gridCol w:w="175"/>
        <w:gridCol w:w="90"/>
        <w:gridCol w:w="10"/>
      </w:tblGrid>
      <w:tr w:rsidR="006F6904" w:rsidRPr="00462C96" w14:paraId="6D7C3208" w14:textId="3C78B609" w:rsidTr="00F67747">
        <w:trPr>
          <w:gridAfter w:val="3"/>
          <w:wAfter w:w="275" w:type="dxa"/>
          <w:jc w:val="center"/>
        </w:trPr>
        <w:tc>
          <w:tcPr>
            <w:tcW w:w="2720" w:type="dxa"/>
            <w:gridSpan w:val="3"/>
            <w:vAlign w:val="center"/>
          </w:tcPr>
          <w:p w14:paraId="119A3233" w14:textId="01F50C3E" w:rsidR="006F6904" w:rsidRPr="00462C96" w:rsidRDefault="0018090B" w:rsidP="00FA223D">
            <w:pPr>
              <w:jc w:val="center"/>
              <w:rPr>
                <w:b/>
              </w:rPr>
            </w:pPr>
            <w:r w:rsidRPr="0018090B">
              <w:rPr>
                <w:b/>
              </w:rPr>
              <w:t>Vermont Guiding</w:t>
            </w:r>
            <w:r>
              <w:t xml:space="preserve"> </w:t>
            </w:r>
            <w:r w:rsidRPr="00462C96">
              <w:rPr>
                <w:b/>
              </w:rPr>
              <w:t>Principle</w:t>
            </w:r>
          </w:p>
        </w:tc>
        <w:tc>
          <w:tcPr>
            <w:tcW w:w="10420" w:type="dxa"/>
            <w:gridSpan w:val="6"/>
            <w:vAlign w:val="center"/>
          </w:tcPr>
          <w:p w14:paraId="63848200" w14:textId="4849095B" w:rsidR="006F6904" w:rsidRPr="00462C96" w:rsidRDefault="006F6904" w:rsidP="00FA223D">
            <w:pPr>
              <w:jc w:val="center"/>
              <w:rPr>
                <w:b/>
              </w:rPr>
            </w:pPr>
            <w:r>
              <w:rPr>
                <w:b/>
              </w:rPr>
              <w:t xml:space="preserve">National Research and </w:t>
            </w:r>
            <w:r w:rsidRPr="00462C96">
              <w:rPr>
                <w:b/>
              </w:rPr>
              <w:t>Evidence Sources</w:t>
            </w:r>
          </w:p>
        </w:tc>
      </w:tr>
      <w:tr w:rsidR="006F6904" w:rsidRPr="001E7FB1" w14:paraId="1774A3BC" w14:textId="77777777" w:rsidTr="00F67747">
        <w:trPr>
          <w:gridAfter w:val="3"/>
          <w:wAfter w:w="275" w:type="dxa"/>
          <w:trHeight w:val="3671"/>
          <w:jc w:val="center"/>
        </w:trPr>
        <w:tc>
          <w:tcPr>
            <w:tcW w:w="2710" w:type="dxa"/>
            <w:gridSpan w:val="2"/>
            <w:vAlign w:val="center"/>
          </w:tcPr>
          <w:p w14:paraId="71D8CF50" w14:textId="0E72D6A7" w:rsidR="006F6904" w:rsidRPr="00B20155" w:rsidRDefault="006F6904" w:rsidP="00B20155">
            <w:pPr>
              <w:rPr>
                <w:rFonts w:ascii="Palatino Linotype" w:hAnsi="Palatino Linotype"/>
                <w:b/>
                <w:sz w:val="21"/>
                <w:szCs w:val="21"/>
              </w:rPr>
            </w:pPr>
            <w:r w:rsidRPr="00B20155">
              <w:rPr>
                <w:rFonts w:ascii="Palatino Linotype" w:hAnsi="Palatino Linotype"/>
                <w:b/>
                <w:sz w:val="21"/>
                <w:szCs w:val="21"/>
              </w:rPr>
              <w:t xml:space="preserve">We believe that </w:t>
            </w:r>
            <w:proofErr w:type="gramStart"/>
            <w:r w:rsidRPr="00B20155">
              <w:rPr>
                <w:rFonts w:ascii="Palatino Linotype" w:hAnsi="Palatino Linotype"/>
                <w:b/>
                <w:sz w:val="21"/>
                <w:szCs w:val="21"/>
              </w:rPr>
              <w:t>each and every</w:t>
            </w:r>
            <w:proofErr w:type="gramEnd"/>
            <w:r w:rsidRPr="00B20155">
              <w:rPr>
                <w:rFonts w:ascii="Palatino Linotype" w:hAnsi="Palatino Linotype"/>
                <w:b/>
                <w:sz w:val="21"/>
                <w:szCs w:val="21"/>
              </w:rPr>
              <w:t xml:space="preserve"> child learns within the context of secure and authentic relationships, play, and interactions within their environments.</w:t>
            </w:r>
          </w:p>
        </w:tc>
        <w:tc>
          <w:tcPr>
            <w:tcW w:w="10430" w:type="dxa"/>
            <w:gridSpan w:val="7"/>
            <w:vAlign w:val="center"/>
          </w:tcPr>
          <w:p w14:paraId="3BA8C03C" w14:textId="42929986" w:rsidR="006F6904" w:rsidRPr="006011DF" w:rsidRDefault="006F6904" w:rsidP="00F82178">
            <w:pPr>
              <w:kinsoku w:val="0"/>
              <w:overflowPunct w:val="0"/>
              <w:textAlignment w:val="baseline"/>
              <w:rPr>
                <w:rFonts w:eastAsia="+mn-ea" w:cstheme="minorHAnsi"/>
                <w:b/>
                <w:color w:val="000000"/>
                <w:szCs w:val="20"/>
              </w:rPr>
            </w:pPr>
            <w:r w:rsidRPr="006011DF">
              <w:rPr>
                <w:rFonts w:eastAsia="+mn-ea" w:cstheme="minorHAnsi"/>
                <w:b/>
                <w:color w:val="000000"/>
                <w:szCs w:val="20"/>
              </w:rPr>
              <w:t>Secure relationships and interactions foster a sense of connection and security and build self-esteem and self-confidence, helping young children adapt more readily</w:t>
            </w:r>
            <w:r w:rsidR="006011DF">
              <w:rPr>
                <w:rFonts w:eastAsia="+mn-ea" w:cstheme="minorHAnsi"/>
                <w:b/>
                <w:color w:val="000000"/>
                <w:szCs w:val="20"/>
              </w:rPr>
              <w:t>.</w:t>
            </w:r>
          </w:p>
          <w:p w14:paraId="53E39AB5" w14:textId="0A4A89C2" w:rsidR="006F6904" w:rsidRPr="0074734A" w:rsidRDefault="006F6904" w:rsidP="00F82178">
            <w:pPr>
              <w:kinsoku w:val="0"/>
              <w:overflowPunct w:val="0"/>
              <w:ind w:left="187" w:hanging="187"/>
              <w:textAlignment w:val="baseline"/>
              <w:rPr>
                <w:rFonts w:eastAsia="Times New Roman" w:cstheme="minorHAnsi"/>
                <w:b/>
                <w:bCs/>
                <w:kern w:val="36"/>
                <w:sz w:val="20"/>
                <w:szCs w:val="20"/>
              </w:rPr>
            </w:pPr>
            <w:r w:rsidRPr="0074734A">
              <w:rPr>
                <w:rFonts w:eastAsia="Times New Roman" w:cstheme="minorHAnsi"/>
                <w:bCs/>
                <w:kern w:val="36"/>
                <w:sz w:val="20"/>
                <w:szCs w:val="20"/>
              </w:rPr>
              <w:t xml:space="preserve">Center on the Social and Emotional Foundations of Early Learning (CSEFEL). (2010) </w:t>
            </w:r>
            <w:r w:rsidRPr="0074734A">
              <w:rPr>
                <w:rFonts w:eastAsia="Times New Roman" w:cstheme="minorHAnsi"/>
                <w:bCs/>
                <w:i/>
                <w:kern w:val="36"/>
                <w:sz w:val="20"/>
                <w:szCs w:val="20"/>
              </w:rPr>
              <w:t>Module 1: Promoting children’s success: Building relationships and creating supporting environments.</w:t>
            </w:r>
            <w:r w:rsidRPr="0074734A">
              <w:rPr>
                <w:rFonts w:eastAsia="Times New Roman" w:cstheme="minorHAnsi"/>
                <w:bCs/>
                <w:kern w:val="36"/>
                <w:sz w:val="20"/>
                <w:szCs w:val="20"/>
              </w:rPr>
              <w:t xml:space="preserve"> </w:t>
            </w:r>
            <w:hyperlink r:id="rId7" w:history="1">
              <w:r w:rsidRPr="0074734A">
                <w:rPr>
                  <w:rStyle w:val="Hyperlink"/>
                  <w:rFonts w:eastAsia="Times New Roman" w:cstheme="minorHAnsi"/>
                  <w:b/>
                  <w:kern w:val="36"/>
                  <w:sz w:val="20"/>
                  <w:szCs w:val="20"/>
                  <w:u w:val="none"/>
                </w:rPr>
                <w:t>http://csefel.vanderbilt.edu/modules/module1/presenters-ppt/Module1.zip</w:t>
              </w:r>
            </w:hyperlink>
            <w:r w:rsidRPr="0074734A">
              <w:rPr>
                <w:rFonts w:eastAsia="Times New Roman" w:cstheme="minorHAnsi"/>
                <w:b/>
                <w:bCs/>
                <w:kern w:val="36"/>
                <w:sz w:val="20"/>
                <w:szCs w:val="20"/>
              </w:rPr>
              <w:t xml:space="preserve"> </w:t>
            </w:r>
          </w:p>
          <w:p w14:paraId="5DB2F495" w14:textId="77777777" w:rsidR="006F6904" w:rsidRPr="0074734A" w:rsidRDefault="006F6904" w:rsidP="00F82178">
            <w:pPr>
              <w:kinsoku w:val="0"/>
              <w:overflowPunct w:val="0"/>
              <w:ind w:left="187" w:hanging="187"/>
              <w:textAlignment w:val="baseline"/>
              <w:rPr>
                <w:rFonts w:eastAsia="Times New Roman" w:cstheme="minorHAnsi"/>
                <w:bCs/>
                <w:kern w:val="36"/>
                <w:sz w:val="20"/>
                <w:szCs w:val="20"/>
              </w:rPr>
            </w:pPr>
            <w:r w:rsidRPr="0074734A">
              <w:rPr>
                <w:rFonts w:eastAsia="Times New Roman" w:cstheme="minorHAnsi"/>
                <w:bCs/>
                <w:kern w:val="36"/>
                <w:sz w:val="20"/>
                <w:szCs w:val="20"/>
              </w:rPr>
              <w:t xml:space="preserve">Denham, S. A., Bassett, H. H., Zinsser, K., et al. (2008). How preschoolers' social–emotional learning predicts their early school success: Developing theory-promoting, competency-based assessments. </w:t>
            </w:r>
            <w:r w:rsidRPr="0074734A">
              <w:rPr>
                <w:rFonts w:eastAsia="Times New Roman" w:cstheme="minorHAnsi"/>
                <w:bCs/>
                <w:i/>
                <w:kern w:val="36"/>
                <w:sz w:val="20"/>
                <w:szCs w:val="20"/>
              </w:rPr>
              <w:t>Infant and Child Development, 23</w:t>
            </w:r>
            <w:r w:rsidRPr="0074734A">
              <w:rPr>
                <w:rFonts w:eastAsia="Times New Roman" w:cstheme="minorHAnsi"/>
                <w:bCs/>
                <w:kern w:val="36"/>
                <w:sz w:val="20"/>
                <w:szCs w:val="20"/>
              </w:rPr>
              <w:t>(4), 426-454.</w:t>
            </w:r>
          </w:p>
          <w:p w14:paraId="355DE85F" w14:textId="77777777" w:rsidR="006F6904" w:rsidRPr="0074734A" w:rsidRDefault="006F6904" w:rsidP="00F82178">
            <w:pPr>
              <w:kinsoku w:val="0"/>
              <w:overflowPunct w:val="0"/>
              <w:ind w:left="187" w:hanging="187"/>
              <w:textAlignment w:val="baseline"/>
              <w:rPr>
                <w:rFonts w:eastAsia="Times New Roman" w:cstheme="minorHAnsi"/>
                <w:bCs/>
                <w:kern w:val="36"/>
                <w:sz w:val="20"/>
                <w:szCs w:val="20"/>
              </w:rPr>
            </w:pPr>
            <w:r w:rsidRPr="0074734A">
              <w:rPr>
                <w:rFonts w:eastAsia="Times New Roman" w:cstheme="minorHAnsi"/>
                <w:bCs/>
                <w:kern w:val="36"/>
                <w:sz w:val="20"/>
                <w:szCs w:val="20"/>
              </w:rPr>
              <w:t xml:space="preserve">Ladd, G.W. (2009). Trends, travails, and turning points in early research on children’s peer relationships: Legacies and lessons for our time? In K.H. Rubin, W.M. Bukowski, &amp; B. </w:t>
            </w:r>
            <w:proofErr w:type="spellStart"/>
            <w:r w:rsidRPr="0074734A">
              <w:rPr>
                <w:rFonts w:eastAsia="Times New Roman" w:cstheme="minorHAnsi"/>
                <w:bCs/>
                <w:kern w:val="36"/>
                <w:sz w:val="20"/>
                <w:szCs w:val="20"/>
              </w:rPr>
              <w:t>Laursen</w:t>
            </w:r>
            <w:proofErr w:type="spellEnd"/>
            <w:r w:rsidRPr="0074734A">
              <w:rPr>
                <w:rFonts w:eastAsia="Times New Roman" w:cstheme="minorHAnsi"/>
                <w:bCs/>
                <w:kern w:val="36"/>
                <w:sz w:val="20"/>
                <w:szCs w:val="20"/>
              </w:rPr>
              <w:t xml:space="preserve"> (Eds.), </w:t>
            </w:r>
            <w:r w:rsidRPr="0074734A">
              <w:rPr>
                <w:rFonts w:eastAsia="Times New Roman" w:cstheme="minorHAnsi"/>
                <w:bCs/>
                <w:i/>
                <w:kern w:val="36"/>
                <w:sz w:val="20"/>
                <w:szCs w:val="20"/>
              </w:rPr>
              <w:t>Handbook of Peer Interactions, Relationships, and Groups</w:t>
            </w:r>
            <w:r w:rsidRPr="0074734A">
              <w:rPr>
                <w:rFonts w:eastAsia="Times New Roman" w:cstheme="minorHAnsi"/>
                <w:bCs/>
                <w:kern w:val="36"/>
                <w:sz w:val="20"/>
                <w:szCs w:val="20"/>
              </w:rPr>
              <w:t>, (Ch.2, pp. 20–41. New York: Guilford.</w:t>
            </w:r>
          </w:p>
          <w:p w14:paraId="6EA86218" w14:textId="77777777" w:rsidR="006F6904" w:rsidRPr="0074734A" w:rsidRDefault="006F6904" w:rsidP="00F82178">
            <w:pPr>
              <w:kinsoku w:val="0"/>
              <w:overflowPunct w:val="0"/>
              <w:ind w:left="187" w:hanging="187"/>
              <w:textAlignment w:val="baseline"/>
              <w:rPr>
                <w:rFonts w:cstheme="minorHAnsi"/>
                <w:sz w:val="20"/>
                <w:szCs w:val="20"/>
              </w:rPr>
            </w:pPr>
            <w:r w:rsidRPr="0074734A">
              <w:rPr>
                <w:rFonts w:eastAsia="Times New Roman" w:cstheme="minorHAnsi"/>
                <w:bCs/>
                <w:kern w:val="36"/>
                <w:sz w:val="20"/>
                <w:szCs w:val="20"/>
              </w:rPr>
              <w:t xml:space="preserve">Sabol, T. J., </w:t>
            </w:r>
            <w:proofErr w:type="spellStart"/>
            <w:r w:rsidRPr="0074734A">
              <w:rPr>
                <w:rFonts w:eastAsia="Times New Roman" w:cstheme="minorHAnsi"/>
                <w:bCs/>
                <w:kern w:val="36"/>
                <w:sz w:val="20"/>
                <w:szCs w:val="20"/>
              </w:rPr>
              <w:t>Bohlmann</w:t>
            </w:r>
            <w:proofErr w:type="spellEnd"/>
            <w:r w:rsidRPr="0074734A">
              <w:rPr>
                <w:rFonts w:eastAsia="Times New Roman" w:cstheme="minorHAnsi"/>
                <w:bCs/>
                <w:kern w:val="36"/>
                <w:sz w:val="20"/>
                <w:szCs w:val="20"/>
              </w:rPr>
              <w:t xml:space="preserve">, N. L., &amp; Downer, J. T. (2017). Low-income ethnically diverse children’s engagement as a predictor of school readiness above preschool classroom quality. </w:t>
            </w:r>
            <w:r w:rsidRPr="0074734A">
              <w:rPr>
                <w:rFonts w:eastAsia="Times New Roman" w:cstheme="minorHAnsi"/>
                <w:bCs/>
                <w:i/>
                <w:kern w:val="36"/>
                <w:sz w:val="20"/>
                <w:szCs w:val="20"/>
              </w:rPr>
              <w:t>Child Development</w:t>
            </w:r>
            <w:r w:rsidRPr="0074734A">
              <w:rPr>
                <w:rFonts w:eastAsia="Times New Roman" w:cstheme="minorHAnsi"/>
                <w:bCs/>
                <w:kern w:val="36"/>
                <w:sz w:val="20"/>
                <w:szCs w:val="20"/>
              </w:rPr>
              <w:t xml:space="preserve">, </w:t>
            </w:r>
            <w:r w:rsidRPr="0074734A">
              <w:rPr>
                <w:rFonts w:cstheme="minorHAnsi"/>
                <w:sz w:val="20"/>
                <w:szCs w:val="20"/>
              </w:rPr>
              <w:t xml:space="preserve">DOI: </w:t>
            </w:r>
            <w:hyperlink r:id="rId8" w:tgtFrame="_blank" w:history="1">
              <w:r w:rsidRPr="0074734A">
                <w:rPr>
                  <w:rFonts w:cstheme="minorHAnsi"/>
                  <w:b/>
                  <w:color w:val="0000FF"/>
                  <w:sz w:val="20"/>
                  <w:szCs w:val="20"/>
                </w:rPr>
                <w:t>10.1111/cdev.12832</w:t>
              </w:r>
            </w:hyperlink>
            <w:r w:rsidRPr="0074734A">
              <w:rPr>
                <w:rFonts w:cstheme="minorHAnsi"/>
                <w:sz w:val="20"/>
                <w:szCs w:val="20"/>
              </w:rPr>
              <w:t>.</w:t>
            </w:r>
          </w:p>
          <w:p w14:paraId="400CD9EC" w14:textId="77777777" w:rsidR="006F6904" w:rsidRPr="0074734A" w:rsidRDefault="006F6904" w:rsidP="00582DF5">
            <w:pPr>
              <w:ind w:left="245" w:hanging="245"/>
              <w:rPr>
                <w:rFonts w:cstheme="minorHAnsi"/>
                <w:b/>
                <w:sz w:val="20"/>
                <w:szCs w:val="20"/>
              </w:rPr>
            </w:pPr>
            <w:r w:rsidRPr="0074734A">
              <w:rPr>
                <w:rFonts w:cstheme="minorHAnsi"/>
                <w:sz w:val="20"/>
                <w:szCs w:val="20"/>
              </w:rPr>
              <w:t xml:space="preserve">Zeller, J. (2008). Relationships and learning. </w:t>
            </w:r>
            <w:r w:rsidRPr="0074734A">
              <w:rPr>
                <w:rFonts w:cstheme="minorHAnsi"/>
                <w:i/>
                <w:sz w:val="20"/>
                <w:szCs w:val="20"/>
              </w:rPr>
              <w:t>Usable Knowledge: Connecting Research to Practice.</w:t>
            </w:r>
            <w:r w:rsidRPr="0074734A">
              <w:rPr>
                <w:rFonts w:cstheme="minorHAnsi"/>
                <w:sz w:val="20"/>
                <w:szCs w:val="20"/>
              </w:rPr>
              <w:t xml:space="preserve"> </w:t>
            </w:r>
            <w:hyperlink r:id="rId9" w:history="1">
              <w:r w:rsidRPr="0074734A">
                <w:rPr>
                  <w:rStyle w:val="Hyperlink"/>
                  <w:rFonts w:cstheme="minorHAnsi"/>
                  <w:b/>
                  <w:sz w:val="20"/>
                  <w:szCs w:val="20"/>
                  <w:u w:val="none"/>
                </w:rPr>
                <w:t>https://www.gse.harvard.edu/news/uk/08/05/relationships-and-learning</w:t>
              </w:r>
            </w:hyperlink>
            <w:r w:rsidRPr="0074734A">
              <w:rPr>
                <w:rFonts w:cstheme="minorHAnsi"/>
                <w:b/>
                <w:sz w:val="20"/>
                <w:szCs w:val="20"/>
              </w:rPr>
              <w:t xml:space="preserve"> </w:t>
            </w:r>
          </w:p>
          <w:p w14:paraId="51A06F20" w14:textId="77777777" w:rsidR="006F6904" w:rsidRPr="0064406F" w:rsidRDefault="006F6904" w:rsidP="00582DF5">
            <w:pPr>
              <w:ind w:left="245" w:hanging="245"/>
              <w:rPr>
                <w:rFonts w:cstheme="minorHAnsi"/>
                <w:sz w:val="8"/>
                <w:szCs w:val="20"/>
              </w:rPr>
            </w:pPr>
          </w:p>
          <w:p w14:paraId="3BDD5082" w14:textId="058BB906" w:rsidR="006F6904" w:rsidRPr="006011DF" w:rsidRDefault="008A25BE" w:rsidP="00454C4C">
            <w:pPr>
              <w:kinsoku w:val="0"/>
              <w:overflowPunct w:val="0"/>
              <w:textAlignment w:val="baseline"/>
              <w:rPr>
                <w:rFonts w:eastAsia="+mn-ea" w:cstheme="minorHAnsi"/>
                <w:b/>
                <w:color w:val="000000"/>
                <w:szCs w:val="20"/>
              </w:rPr>
            </w:pPr>
            <w:r w:rsidRPr="006011DF">
              <w:rPr>
                <w:rFonts w:eastAsia="+mn-ea" w:cstheme="minorHAnsi"/>
                <w:b/>
                <w:color w:val="000000"/>
                <w:szCs w:val="20"/>
              </w:rPr>
              <w:t xml:space="preserve">Play provides active exploration that assists in building and strengthening brain pathways. Play creates a brain that has increased ‘flexibility and improved potential for learning later in life’. </w:t>
            </w:r>
            <w:r w:rsidR="00454C4C" w:rsidRPr="006011DF">
              <w:rPr>
                <w:rFonts w:eastAsia="+mn-ea" w:cstheme="minorHAnsi"/>
                <w:b/>
                <w:color w:val="000000"/>
                <w:szCs w:val="20"/>
              </w:rPr>
              <w:t>Through play of all sorts—from building to board games, from make-believe to magic tricks—children are testing theories about how the world works and developing the brain plasticity for lifelong learning.</w:t>
            </w:r>
            <w:r w:rsidR="00307ADA" w:rsidRPr="006011DF">
              <w:rPr>
                <w:rFonts w:eastAsia="+mn-ea" w:cstheme="minorHAnsi"/>
                <w:b/>
                <w:color w:val="000000"/>
                <w:szCs w:val="20"/>
              </w:rPr>
              <w:t xml:space="preserve"> </w:t>
            </w:r>
          </w:p>
          <w:p w14:paraId="7C86B1E8" w14:textId="7D6C4806" w:rsidR="004B284F" w:rsidRPr="0074734A" w:rsidRDefault="004B284F" w:rsidP="00664F95">
            <w:pPr>
              <w:ind w:left="245" w:hanging="245"/>
              <w:contextualSpacing/>
              <w:outlineLvl w:val="0"/>
              <w:rPr>
                <w:rFonts w:eastAsia="Times New Roman" w:cstheme="minorHAnsi"/>
                <w:bCs/>
                <w:kern w:val="36"/>
                <w:sz w:val="20"/>
                <w:szCs w:val="20"/>
              </w:rPr>
            </w:pPr>
            <w:r w:rsidRPr="0074734A">
              <w:rPr>
                <w:rFonts w:eastAsia="Times New Roman" w:cstheme="minorHAnsi"/>
                <w:bCs/>
                <w:kern w:val="36"/>
                <w:sz w:val="20"/>
                <w:szCs w:val="20"/>
              </w:rPr>
              <w:t xml:space="preserve">American Academy of Pediatrics. (2007). </w:t>
            </w:r>
            <w:r w:rsidR="00084559" w:rsidRPr="0074734A">
              <w:rPr>
                <w:rFonts w:eastAsia="Times New Roman" w:cstheme="minorHAnsi"/>
                <w:bCs/>
                <w:kern w:val="36"/>
                <w:sz w:val="20"/>
                <w:szCs w:val="20"/>
              </w:rPr>
              <w:t xml:space="preserve">The importance of play in promoting healthy child development and maintaining strong parent-child bonds. </w:t>
            </w:r>
            <w:r w:rsidR="006B24FD" w:rsidRPr="0074734A">
              <w:rPr>
                <w:rFonts w:eastAsia="Times New Roman" w:cstheme="minorHAnsi"/>
                <w:bCs/>
                <w:i/>
                <w:kern w:val="36"/>
                <w:sz w:val="20"/>
                <w:szCs w:val="20"/>
              </w:rPr>
              <w:t>Pediatrics, 119</w:t>
            </w:r>
            <w:r w:rsidR="006B24FD" w:rsidRPr="0074734A">
              <w:rPr>
                <w:rFonts w:eastAsia="Times New Roman" w:cstheme="minorHAnsi"/>
                <w:bCs/>
                <w:kern w:val="36"/>
                <w:sz w:val="20"/>
                <w:szCs w:val="20"/>
              </w:rPr>
              <w:t xml:space="preserve">, Issue 1. </w:t>
            </w:r>
            <w:hyperlink r:id="rId10" w:history="1">
              <w:r w:rsidR="00460F18" w:rsidRPr="0074734A">
                <w:rPr>
                  <w:rStyle w:val="Hyperlink"/>
                  <w:rFonts w:eastAsia="Times New Roman" w:cstheme="minorHAnsi"/>
                  <w:b/>
                  <w:bCs/>
                  <w:kern w:val="36"/>
                  <w:sz w:val="20"/>
                  <w:szCs w:val="20"/>
                  <w:u w:val="none"/>
                </w:rPr>
                <w:t>http://pediatrics.aappublications.org/content/pediatrics/119/1/182.full.pdf</w:t>
              </w:r>
            </w:hyperlink>
            <w:r w:rsidR="00460F18" w:rsidRPr="0074734A">
              <w:rPr>
                <w:rFonts w:eastAsia="Times New Roman" w:cstheme="minorHAnsi"/>
                <w:b/>
                <w:bCs/>
                <w:kern w:val="36"/>
                <w:sz w:val="20"/>
                <w:szCs w:val="20"/>
              </w:rPr>
              <w:t xml:space="preserve"> </w:t>
            </w:r>
          </w:p>
          <w:p w14:paraId="257953DE" w14:textId="77777777" w:rsidR="00454C4C" w:rsidRPr="0074734A" w:rsidRDefault="003D11DD" w:rsidP="00B20155">
            <w:pPr>
              <w:ind w:left="245" w:hanging="245"/>
              <w:contextualSpacing/>
              <w:outlineLvl w:val="0"/>
              <w:rPr>
                <w:rFonts w:eastAsia="Times New Roman" w:cstheme="minorHAnsi"/>
                <w:b/>
                <w:color w:val="0563C1" w:themeColor="hyperlink"/>
                <w:sz w:val="20"/>
                <w:szCs w:val="20"/>
              </w:rPr>
            </w:pPr>
            <w:proofErr w:type="spellStart"/>
            <w:r w:rsidRPr="0074734A">
              <w:rPr>
                <w:rFonts w:eastAsia="Times New Roman" w:cstheme="minorHAnsi"/>
                <w:bCs/>
                <w:kern w:val="36"/>
                <w:sz w:val="20"/>
                <w:szCs w:val="20"/>
              </w:rPr>
              <w:t>Hadani</w:t>
            </w:r>
            <w:proofErr w:type="spellEnd"/>
            <w:r w:rsidRPr="0074734A">
              <w:rPr>
                <w:rFonts w:eastAsia="Times New Roman" w:cstheme="minorHAnsi"/>
                <w:bCs/>
                <w:kern w:val="36"/>
                <w:sz w:val="20"/>
                <w:szCs w:val="20"/>
              </w:rPr>
              <w:t xml:space="preserve">, H. S., </w:t>
            </w:r>
            <w:r w:rsidR="00B97918" w:rsidRPr="0074734A">
              <w:rPr>
                <w:rFonts w:eastAsia="Times New Roman" w:cstheme="minorHAnsi"/>
                <w:bCs/>
                <w:kern w:val="36"/>
                <w:sz w:val="20"/>
                <w:szCs w:val="20"/>
              </w:rPr>
              <w:t xml:space="preserve">&amp; Rood, E. </w:t>
            </w:r>
            <w:r w:rsidR="00723465" w:rsidRPr="0074734A">
              <w:rPr>
                <w:rFonts w:eastAsia="Times New Roman" w:cstheme="minorHAnsi"/>
                <w:bCs/>
                <w:i/>
                <w:kern w:val="36"/>
                <w:sz w:val="20"/>
                <w:szCs w:val="20"/>
              </w:rPr>
              <w:t>The Roots of STEM success: Changing early learning experiences to build lifelong thinking skills</w:t>
            </w:r>
            <w:r w:rsidR="00664F95" w:rsidRPr="0074734A">
              <w:rPr>
                <w:rFonts w:eastAsia="Times New Roman" w:cstheme="minorHAnsi"/>
                <w:bCs/>
                <w:kern w:val="36"/>
                <w:sz w:val="20"/>
                <w:szCs w:val="20"/>
              </w:rPr>
              <w:t xml:space="preserve">. Sausalito, CA: Center for Childhood Creativity. </w:t>
            </w:r>
            <w:hyperlink r:id="rId11" w:history="1">
              <w:r w:rsidR="00723465" w:rsidRPr="0074734A">
                <w:rPr>
                  <w:rStyle w:val="Hyperlink"/>
                  <w:rFonts w:eastAsia="Times New Roman" w:cstheme="minorHAnsi"/>
                  <w:b/>
                  <w:sz w:val="20"/>
                  <w:szCs w:val="20"/>
                  <w:u w:val="none"/>
                </w:rPr>
                <w:t>http://centerforchildhoodcreativity.org/wp-content/uploads/sites/2/2018/02/CCC_The_Roots_of_STEM_Early_Learning.pdf</w:t>
              </w:r>
            </w:hyperlink>
          </w:p>
          <w:p w14:paraId="25962002" w14:textId="6993112C" w:rsidR="00B20155" w:rsidRPr="001F4755" w:rsidRDefault="0074734A" w:rsidP="001F4755">
            <w:pPr>
              <w:ind w:left="245" w:hanging="245"/>
              <w:rPr>
                <w:rFonts w:eastAsia="Times New Roman" w:cstheme="minorHAnsi"/>
                <w:sz w:val="20"/>
                <w:szCs w:val="20"/>
              </w:rPr>
            </w:pPr>
            <w:r w:rsidRPr="0074734A">
              <w:rPr>
                <w:rFonts w:eastAsia="Times New Roman" w:cstheme="minorHAnsi"/>
                <w:sz w:val="20"/>
                <w:szCs w:val="20"/>
              </w:rPr>
              <w:t xml:space="preserve">Lester, </w:t>
            </w:r>
            <w:r>
              <w:rPr>
                <w:rFonts w:eastAsia="Times New Roman" w:cstheme="minorHAnsi"/>
                <w:sz w:val="20"/>
                <w:szCs w:val="20"/>
              </w:rPr>
              <w:t>S., &amp; Russell, W. (</w:t>
            </w:r>
            <w:r w:rsidR="00FA26FF">
              <w:rPr>
                <w:rFonts w:eastAsia="Times New Roman" w:cstheme="minorHAnsi"/>
                <w:sz w:val="20"/>
                <w:szCs w:val="20"/>
              </w:rPr>
              <w:t xml:space="preserve">2008). </w:t>
            </w:r>
            <w:r w:rsidRPr="0074734A">
              <w:rPr>
                <w:rFonts w:eastAsia="Times New Roman" w:cstheme="minorHAnsi"/>
                <w:sz w:val="20"/>
                <w:szCs w:val="20"/>
              </w:rPr>
              <w:t xml:space="preserve">Play for a </w:t>
            </w:r>
            <w:r>
              <w:rPr>
                <w:rFonts w:eastAsia="Times New Roman" w:cstheme="minorHAnsi"/>
                <w:sz w:val="20"/>
                <w:szCs w:val="20"/>
              </w:rPr>
              <w:t>c</w:t>
            </w:r>
            <w:r w:rsidRPr="0074734A">
              <w:rPr>
                <w:rFonts w:eastAsia="Times New Roman" w:cstheme="minorHAnsi"/>
                <w:sz w:val="20"/>
                <w:szCs w:val="20"/>
              </w:rPr>
              <w:t>hange</w:t>
            </w:r>
            <w:r>
              <w:rPr>
                <w:rFonts w:eastAsia="Times New Roman" w:cstheme="minorHAnsi"/>
                <w:sz w:val="20"/>
                <w:szCs w:val="20"/>
              </w:rPr>
              <w:t xml:space="preserve">: Play, policy, and practice: A review of contemporary perspectives. </w:t>
            </w:r>
            <w:r w:rsidR="001F4755">
              <w:rPr>
                <w:rFonts w:eastAsia="Times New Roman" w:cstheme="minorHAnsi"/>
                <w:sz w:val="20"/>
                <w:szCs w:val="20"/>
              </w:rPr>
              <w:t xml:space="preserve">London: Play England. </w:t>
            </w:r>
            <w:hyperlink r:id="rId12" w:history="1">
              <w:r w:rsidR="001F4755" w:rsidRPr="001F4755">
                <w:rPr>
                  <w:rStyle w:val="Hyperlink"/>
                  <w:rFonts w:eastAsia="Times New Roman" w:cstheme="minorHAnsi"/>
                  <w:b/>
                  <w:sz w:val="20"/>
                  <w:szCs w:val="20"/>
                  <w:u w:val="none"/>
                </w:rPr>
                <w:t>http://www.playengland.org.uk/media/120519/play-for-a-change-summary.pdf</w:t>
              </w:r>
            </w:hyperlink>
            <w:r w:rsidR="00FA26FF" w:rsidRPr="001F4755">
              <w:rPr>
                <w:rFonts w:eastAsia="Times New Roman" w:cstheme="minorHAnsi"/>
                <w:b/>
                <w:sz w:val="20"/>
                <w:szCs w:val="20"/>
              </w:rPr>
              <w:t xml:space="preserve"> </w:t>
            </w:r>
          </w:p>
        </w:tc>
      </w:tr>
      <w:tr w:rsidR="006F6904" w:rsidRPr="001E7FB1" w14:paraId="3BA26269" w14:textId="77777777" w:rsidTr="00F67747">
        <w:trPr>
          <w:gridAfter w:val="3"/>
          <w:wAfter w:w="275" w:type="dxa"/>
          <w:jc w:val="center"/>
        </w:trPr>
        <w:tc>
          <w:tcPr>
            <w:tcW w:w="2710" w:type="dxa"/>
            <w:gridSpan w:val="2"/>
            <w:vAlign w:val="center"/>
          </w:tcPr>
          <w:p w14:paraId="346DF05C" w14:textId="62EDC6B4" w:rsidR="006F6904" w:rsidRPr="00B20155" w:rsidRDefault="006F6904" w:rsidP="00B20155">
            <w:pPr>
              <w:rPr>
                <w:rFonts w:ascii="Palatino Linotype" w:hAnsi="Palatino Linotype"/>
                <w:b/>
                <w:sz w:val="21"/>
                <w:szCs w:val="21"/>
              </w:rPr>
            </w:pPr>
            <w:r w:rsidRPr="00B20155">
              <w:rPr>
                <w:rFonts w:ascii="Palatino Linotype" w:hAnsi="Palatino Linotype"/>
                <w:b/>
                <w:sz w:val="21"/>
                <w:szCs w:val="21"/>
              </w:rPr>
              <w:t xml:space="preserve">We believe that </w:t>
            </w:r>
            <w:proofErr w:type="gramStart"/>
            <w:r w:rsidRPr="00B20155">
              <w:rPr>
                <w:rFonts w:ascii="Palatino Linotype" w:hAnsi="Palatino Linotype"/>
                <w:b/>
                <w:sz w:val="21"/>
                <w:szCs w:val="21"/>
              </w:rPr>
              <w:t>each and every</w:t>
            </w:r>
            <w:proofErr w:type="gramEnd"/>
            <w:r w:rsidRPr="00B20155">
              <w:rPr>
                <w:rFonts w:ascii="Palatino Linotype" w:hAnsi="Palatino Linotype"/>
                <w:b/>
                <w:sz w:val="21"/>
                <w:szCs w:val="21"/>
              </w:rPr>
              <w:t xml:space="preserve"> child deserves equitable access to experiences that acknowledge and build on their uniqueness.</w:t>
            </w:r>
          </w:p>
        </w:tc>
        <w:tc>
          <w:tcPr>
            <w:tcW w:w="10430" w:type="dxa"/>
            <w:gridSpan w:val="7"/>
            <w:vAlign w:val="center"/>
          </w:tcPr>
          <w:p w14:paraId="32B0A643" w14:textId="771F0436" w:rsidR="006F6904" w:rsidRDefault="006F6904" w:rsidP="00BF4673">
            <w:pPr>
              <w:outlineLvl w:val="4"/>
              <w:rPr>
                <w:rFonts w:eastAsia="Times New Roman" w:cstheme="minorHAnsi"/>
                <w:b/>
                <w:bCs/>
                <w:szCs w:val="24"/>
              </w:rPr>
            </w:pPr>
            <w:r>
              <w:rPr>
                <w:rFonts w:eastAsia="Times New Roman" w:cstheme="minorHAnsi"/>
                <w:b/>
                <w:bCs/>
                <w:szCs w:val="24"/>
              </w:rPr>
              <w:t>Equity is a</w:t>
            </w:r>
            <w:r w:rsidRPr="006E1E52">
              <w:rPr>
                <w:rFonts w:eastAsia="Times New Roman" w:cstheme="minorHAnsi"/>
                <w:b/>
                <w:bCs/>
                <w:szCs w:val="24"/>
              </w:rPr>
              <w:t xml:space="preserve"> central core principle for early learning. </w:t>
            </w:r>
            <w:r w:rsidRPr="000922E5">
              <w:rPr>
                <w:rFonts w:eastAsia="Times New Roman" w:cstheme="minorHAnsi"/>
                <w:b/>
                <w:bCs/>
                <w:szCs w:val="24"/>
              </w:rPr>
              <w:t>Students</w:t>
            </w:r>
            <w:r>
              <w:rPr>
                <w:rFonts w:eastAsia="Times New Roman" w:cstheme="minorHAnsi"/>
                <w:b/>
                <w:bCs/>
                <w:szCs w:val="24"/>
              </w:rPr>
              <w:t xml:space="preserve"> are more likely to succeed if they have equal access to the resources and educational rigor at the right moment in their education despite race, gender, ethnicity, language, disability, family background, or family income.</w:t>
            </w:r>
          </w:p>
          <w:p w14:paraId="58A418FF" w14:textId="4F28F0B4" w:rsidR="006F6904" w:rsidRPr="00582DF5" w:rsidRDefault="006F6904" w:rsidP="00582DF5">
            <w:pPr>
              <w:ind w:left="245" w:hanging="245"/>
              <w:outlineLvl w:val="4"/>
              <w:rPr>
                <w:rFonts w:eastAsia="Times New Roman" w:cstheme="minorHAnsi"/>
                <w:b/>
                <w:bCs/>
                <w:color w:val="444444"/>
                <w:sz w:val="20"/>
                <w:szCs w:val="24"/>
              </w:rPr>
            </w:pPr>
            <w:r w:rsidRPr="00F66502">
              <w:rPr>
                <w:rFonts w:eastAsia="Times New Roman" w:cstheme="minorHAnsi"/>
                <w:bCs/>
                <w:sz w:val="20"/>
                <w:szCs w:val="20"/>
              </w:rPr>
              <w:t xml:space="preserve">Johnson-Staub, C. (2017). </w:t>
            </w:r>
            <w:r w:rsidRPr="00F66502">
              <w:rPr>
                <w:rFonts w:eastAsia="Times New Roman" w:cstheme="minorHAnsi"/>
                <w:bCs/>
                <w:i/>
                <w:sz w:val="20"/>
                <w:szCs w:val="20"/>
              </w:rPr>
              <w:t>Equity starts early: Addressing racial inequities in child care and early education policy</w:t>
            </w:r>
            <w:r w:rsidRPr="00F66502">
              <w:rPr>
                <w:rFonts w:eastAsia="Times New Roman" w:cstheme="minorHAnsi"/>
                <w:bCs/>
                <w:sz w:val="20"/>
                <w:szCs w:val="20"/>
              </w:rPr>
              <w:t xml:space="preserve">. Washington, DC: CLASP.  </w:t>
            </w:r>
            <w:hyperlink r:id="rId13" w:history="1">
              <w:r w:rsidRPr="00582DF5">
                <w:rPr>
                  <w:rStyle w:val="Hyperlink"/>
                  <w:rFonts w:eastAsia="Times New Roman" w:cstheme="minorHAnsi"/>
                  <w:b/>
                  <w:bCs/>
                  <w:sz w:val="20"/>
                  <w:szCs w:val="20"/>
                  <w:u w:val="none"/>
                </w:rPr>
                <w:t>https://www.clasp.org/sites/default/files/publications/2017/12/2017_EquityStartsEarly_0.pdf</w:t>
              </w:r>
            </w:hyperlink>
            <w:r w:rsidRPr="00582DF5">
              <w:rPr>
                <w:rFonts w:eastAsia="Times New Roman" w:cstheme="minorHAnsi"/>
                <w:b/>
                <w:bCs/>
                <w:color w:val="444444"/>
                <w:sz w:val="20"/>
                <w:szCs w:val="24"/>
              </w:rPr>
              <w:t xml:space="preserve"> </w:t>
            </w:r>
          </w:p>
          <w:p w14:paraId="1497DBCE" w14:textId="09DB77FB" w:rsidR="006F6904" w:rsidRPr="0099275D" w:rsidRDefault="006F6904" w:rsidP="0099275D">
            <w:pPr>
              <w:ind w:left="245" w:hanging="245"/>
              <w:rPr>
                <w:rFonts w:ascii="Calibri" w:eastAsia="Calibri" w:hAnsi="Calibri"/>
                <w:sz w:val="20"/>
              </w:rPr>
            </w:pPr>
            <w:proofErr w:type="spellStart"/>
            <w:r w:rsidRPr="00CF026F">
              <w:rPr>
                <w:sz w:val="20"/>
              </w:rPr>
              <w:t>Weyer</w:t>
            </w:r>
            <w:proofErr w:type="spellEnd"/>
            <w:r w:rsidRPr="00CF026F">
              <w:rPr>
                <w:sz w:val="20"/>
              </w:rPr>
              <w:t xml:space="preserve">, M. (2018). </w:t>
            </w:r>
            <w:r w:rsidRPr="0099275D">
              <w:rPr>
                <w:rFonts w:ascii="Calibri" w:eastAsia="Calibri" w:hAnsi="Calibri"/>
                <w:i/>
                <w:sz w:val="20"/>
              </w:rPr>
              <w:t>A fair start: Ensuring all students are ready to learn</w:t>
            </w:r>
            <w:r>
              <w:rPr>
                <w:rFonts w:ascii="Calibri" w:eastAsia="Calibri" w:hAnsi="Calibri"/>
                <w:b/>
                <w:sz w:val="20"/>
              </w:rPr>
              <w:t xml:space="preserve">. </w:t>
            </w:r>
            <w:r w:rsidRPr="00972A73">
              <w:rPr>
                <w:rFonts w:ascii="Calibri" w:eastAsia="Calibri" w:hAnsi="Calibri"/>
                <w:sz w:val="20"/>
              </w:rPr>
              <w:t xml:space="preserve">Washington, DC: National Conference of State Legislatures. </w:t>
            </w:r>
            <w:hyperlink r:id="rId14" w:history="1">
              <w:r w:rsidRPr="0099275D">
                <w:rPr>
                  <w:rFonts w:ascii="Calibri" w:eastAsia="Calibri" w:hAnsi="Calibri"/>
                  <w:b/>
                  <w:color w:val="0000FF"/>
                  <w:sz w:val="20"/>
                  <w:szCs w:val="20"/>
                </w:rPr>
                <w:t>http://www.ncsl.org/Portals/1/Documents/educ/SPREE_FinalReport_011718.pdf</w:t>
              </w:r>
            </w:hyperlink>
            <w:r w:rsidRPr="0099275D">
              <w:rPr>
                <w:rFonts w:ascii="Calibri" w:eastAsia="Calibri" w:hAnsi="Calibri"/>
                <w:sz w:val="20"/>
              </w:rPr>
              <w:t xml:space="preserve"> </w:t>
            </w:r>
          </w:p>
          <w:p w14:paraId="78AACD30" w14:textId="367204A5" w:rsidR="006F6904" w:rsidRPr="00B20155" w:rsidRDefault="006F6904" w:rsidP="00B20155">
            <w:pPr>
              <w:ind w:left="245" w:hanging="245"/>
              <w:rPr>
                <w:b/>
                <w:sz w:val="20"/>
              </w:rPr>
            </w:pPr>
            <w:r w:rsidRPr="001B2197">
              <w:rPr>
                <w:sz w:val="20"/>
              </w:rPr>
              <w:t>The Aspen Education and Society Program and the Council of Chief State School Officers</w:t>
            </w:r>
            <w:r>
              <w:rPr>
                <w:sz w:val="20"/>
              </w:rPr>
              <w:t>. (2018). States l</w:t>
            </w:r>
            <w:r w:rsidRPr="001B2197">
              <w:rPr>
                <w:sz w:val="20"/>
              </w:rPr>
              <w:t xml:space="preserve">eading for </w:t>
            </w:r>
            <w:r>
              <w:rPr>
                <w:sz w:val="20"/>
              </w:rPr>
              <w:t>e</w:t>
            </w:r>
            <w:r w:rsidRPr="001B2197">
              <w:rPr>
                <w:sz w:val="20"/>
              </w:rPr>
              <w:t xml:space="preserve">quity: </w:t>
            </w:r>
            <w:r>
              <w:rPr>
                <w:sz w:val="20"/>
              </w:rPr>
              <w:t xml:space="preserve">Promising practices advancing equity commitments. </w:t>
            </w:r>
            <w:r w:rsidRPr="001B2197">
              <w:rPr>
                <w:sz w:val="20"/>
              </w:rPr>
              <w:t xml:space="preserve">Washington, D.C.: </w:t>
            </w:r>
            <w:r>
              <w:rPr>
                <w:sz w:val="20"/>
              </w:rPr>
              <w:t>Authors</w:t>
            </w:r>
            <w:r w:rsidRPr="001B2197">
              <w:rPr>
                <w:sz w:val="20"/>
              </w:rPr>
              <w:t>.</w:t>
            </w:r>
            <w:r>
              <w:rPr>
                <w:sz w:val="20"/>
              </w:rPr>
              <w:t xml:space="preserve"> </w:t>
            </w:r>
            <w:hyperlink r:id="rId15" w:history="1">
              <w:r w:rsidRPr="0041177A">
                <w:rPr>
                  <w:rStyle w:val="Hyperlink"/>
                  <w:b/>
                  <w:sz w:val="20"/>
                  <w:u w:val="none"/>
                </w:rPr>
                <w:t>http://www.ccsso.org/sites/default/files/2018-02/States%20Leading%20for%20Equity%20Online.pdf</w:t>
              </w:r>
            </w:hyperlink>
          </w:p>
        </w:tc>
      </w:tr>
      <w:tr w:rsidR="000D6E8C" w:rsidRPr="00462C96" w14:paraId="5B422F5C" w14:textId="77777777" w:rsidTr="00F67747">
        <w:trPr>
          <w:gridAfter w:val="4"/>
          <w:wAfter w:w="525" w:type="dxa"/>
          <w:jc w:val="center"/>
        </w:trPr>
        <w:tc>
          <w:tcPr>
            <w:tcW w:w="2695" w:type="dxa"/>
            <w:shd w:val="clear" w:color="auto" w:fill="D9E2F3" w:themeFill="accent1" w:themeFillTint="33"/>
            <w:vAlign w:val="center"/>
          </w:tcPr>
          <w:p w14:paraId="20E90893" w14:textId="4F19C9B6" w:rsidR="000D6E8C" w:rsidRPr="00462C96" w:rsidRDefault="000D6E8C" w:rsidP="0086774F">
            <w:pPr>
              <w:jc w:val="center"/>
              <w:rPr>
                <w:b/>
              </w:rPr>
            </w:pPr>
            <w:r>
              <w:lastRenderedPageBreak/>
              <w:br w:type="column"/>
            </w:r>
            <w:r>
              <w:br w:type="column"/>
            </w:r>
            <w:r w:rsidR="0018090B" w:rsidRPr="0018090B">
              <w:rPr>
                <w:b/>
              </w:rPr>
              <w:t>Vermont Guiding</w:t>
            </w:r>
            <w:r w:rsidR="0018090B">
              <w:t xml:space="preserve"> P</w:t>
            </w:r>
            <w:r w:rsidR="0018090B" w:rsidRPr="00462C96">
              <w:rPr>
                <w:b/>
              </w:rPr>
              <w:t>rinciple</w:t>
            </w:r>
          </w:p>
        </w:tc>
        <w:tc>
          <w:tcPr>
            <w:tcW w:w="10195" w:type="dxa"/>
            <w:gridSpan w:val="7"/>
            <w:shd w:val="clear" w:color="auto" w:fill="D9E2F3" w:themeFill="accent1" w:themeFillTint="33"/>
            <w:vAlign w:val="center"/>
          </w:tcPr>
          <w:p w14:paraId="26FABC5B" w14:textId="0BA77A51" w:rsidR="000D6E8C" w:rsidRPr="00462C96" w:rsidRDefault="000D6E8C" w:rsidP="0086774F">
            <w:pPr>
              <w:jc w:val="center"/>
              <w:rPr>
                <w:b/>
              </w:rPr>
            </w:pPr>
            <w:r>
              <w:rPr>
                <w:b/>
              </w:rPr>
              <w:t xml:space="preserve">Research and </w:t>
            </w:r>
            <w:r w:rsidRPr="00462C96">
              <w:rPr>
                <w:b/>
              </w:rPr>
              <w:t>Evidence Sources</w:t>
            </w:r>
          </w:p>
        </w:tc>
      </w:tr>
      <w:tr w:rsidR="000D6E8C" w:rsidRPr="00462C96" w14:paraId="5CB6720D" w14:textId="77777777" w:rsidTr="00F67747">
        <w:trPr>
          <w:gridAfter w:val="5"/>
          <w:wAfter w:w="535" w:type="dxa"/>
          <w:jc w:val="center"/>
        </w:trPr>
        <w:tc>
          <w:tcPr>
            <w:tcW w:w="2695" w:type="dxa"/>
            <w:vAlign w:val="center"/>
          </w:tcPr>
          <w:p w14:paraId="0849F6CE" w14:textId="17ECD5BB" w:rsidR="000D6E8C" w:rsidRPr="00A26B60" w:rsidRDefault="000D6E8C" w:rsidP="00A26B60">
            <w:pPr>
              <w:rPr>
                <w:rFonts w:ascii="Palatino Linotype" w:hAnsi="Palatino Linotype"/>
                <w:b/>
                <w:sz w:val="21"/>
                <w:szCs w:val="21"/>
              </w:rPr>
            </w:pPr>
            <w:proofErr w:type="gramStart"/>
            <w:r w:rsidRPr="00A26B60">
              <w:rPr>
                <w:rFonts w:ascii="Palatino Linotype" w:hAnsi="Palatino Linotype"/>
                <w:b/>
                <w:sz w:val="21"/>
                <w:szCs w:val="21"/>
              </w:rPr>
              <w:t>Each and every</w:t>
            </w:r>
            <w:proofErr w:type="gramEnd"/>
            <w:r w:rsidRPr="00A26B60">
              <w:rPr>
                <w:rFonts w:ascii="Palatino Linotype" w:hAnsi="Palatino Linotype"/>
                <w:b/>
                <w:sz w:val="21"/>
                <w:szCs w:val="21"/>
              </w:rPr>
              <w:t xml:space="preserve"> child deserves opportunities to deeply learn and develop to their full potential through joyful interactions in safe, accepting environments.</w:t>
            </w:r>
          </w:p>
        </w:tc>
        <w:tc>
          <w:tcPr>
            <w:tcW w:w="10185" w:type="dxa"/>
            <w:gridSpan w:val="6"/>
          </w:tcPr>
          <w:p w14:paraId="6D80B56D" w14:textId="77777777" w:rsidR="00FA3B9C" w:rsidRDefault="00862D22" w:rsidP="00146A6B">
            <w:pPr>
              <w:rPr>
                <w:rFonts w:eastAsia="+mn-ea" w:cstheme="minorHAnsi"/>
                <w:b/>
                <w:color w:val="221E1F"/>
                <w:kern w:val="24"/>
              </w:rPr>
            </w:pPr>
            <w:r w:rsidRPr="00862D22">
              <w:rPr>
                <w:rFonts w:eastAsia="+mn-ea" w:cstheme="minorHAnsi"/>
                <w:b/>
                <w:color w:val="221E1F"/>
                <w:kern w:val="24"/>
              </w:rPr>
              <w:t>High-quality, culturally responsive interactions and environments that support each child’s full participation are critical to closing achievement gaps</w:t>
            </w:r>
            <w:r w:rsidR="005B5B9B">
              <w:rPr>
                <w:rFonts w:eastAsia="+mn-ea" w:cstheme="minorHAnsi"/>
                <w:b/>
                <w:color w:val="221E1F"/>
                <w:kern w:val="24"/>
              </w:rPr>
              <w:t>.</w:t>
            </w:r>
          </w:p>
          <w:p w14:paraId="588E1A53" w14:textId="4804CF41" w:rsidR="00FA3B9C" w:rsidRPr="00F467F6" w:rsidRDefault="00FA3B9C" w:rsidP="00F467F6">
            <w:pPr>
              <w:ind w:left="245" w:hanging="245"/>
              <w:rPr>
                <w:rFonts w:eastAsia="+mn-ea" w:cstheme="minorHAnsi"/>
                <w:color w:val="221E1F"/>
                <w:kern w:val="24"/>
                <w:sz w:val="20"/>
              </w:rPr>
            </w:pPr>
            <w:proofErr w:type="spellStart"/>
            <w:r w:rsidRPr="00F467F6">
              <w:rPr>
                <w:rFonts w:eastAsia="+mn-ea" w:cstheme="minorHAnsi"/>
                <w:color w:val="221E1F"/>
                <w:kern w:val="24"/>
                <w:sz w:val="20"/>
              </w:rPr>
              <w:t>Whitebrook</w:t>
            </w:r>
            <w:proofErr w:type="spellEnd"/>
            <w:r w:rsidRPr="00F467F6">
              <w:rPr>
                <w:rFonts w:eastAsia="+mn-ea" w:cstheme="minorHAnsi"/>
                <w:color w:val="221E1F"/>
                <w:kern w:val="24"/>
                <w:sz w:val="20"/>
              </w:rPr>
              <w:t xml:space="preserve">, M., </w:t>
            </w:r>
            <w:proofErr w:type="spellStart"/>
            <w:r w:rsidRPr="00F467F6">
              <w:rPr>
                <w:rFonts w:eastAsia="+mn-ea" w:cstheme="minorHAnsi"/>
                <w:color w:val="221E1F"/>
                <w:kern w:val="24"/>
                <w:sz w:val="20"/>
              </w:rPr>
              <w:t>Gomby</w:t>
            </w:r>
            <w:proofErr w:type="spellEnd"/>
            <w:r w:rsidRPr="00F467F6">
              <w:rPr>
                <w:rFonts w:eastAsia="+mn-ea" w:cstheme="minorHAnsi"/>
                <w:color w:val="221E1F"/>
                <w:kern w:val="24"/>
                <w:sz w:val="20"/>
              </w:rPr>
              <w:t xml:space="preserve">, D., </w:t>
            </w:r>
            <w:proofErr w:type="spellStart"/>
            <w:r w:rsidRPr="00F467F6">
              <w:rPr>
                <w:rFonts w:eastAsia="+mn-ea" w:cstheme="minorHAnsi"/>
                <w:color w:val="221E1F"/>
                <w:kern w:val="24"/>
                <w:sz w:val="20"/>
              </w:rPr>
              <w:t>Bellm</w:t>
            </w:r>
            <w:proofErr w:type="spellEnd"/>
            <w:r w:rsidRPr="00F467F6">
              <w:rPr>
                <w:rFonts w:eastAsia="+mn-ea" w:cstheme="minorHAnsi"/>
                <w:color w:val="221E1F"/>
                <w:kern w:val="24"/>
                <w:sz w:val="20"/>
              </w:rPr>
              <w:t xml:space="preserve">, D., Sakai, L., &amp; Kipnis, F. (2009). </w:t>
            </w:r>
            <w:r w:rsidRPr="00F467F6">
              <w:rPr>
                <w:rFonts w:eastAsia="+mn-ea" w:cstheme="minorHAnsi"/>
                <w:i/>
                <w:color w:val="221E1F"/>
                <w:kern w:val="24"/>
                <w:sz w:val="20"/>
              </w:rPr>
              <w:t>Preparing teachers of young children: The current state of knowledge, and a blueprint for the future. Executive summary</w:t>
            </w:r>
            <w:r w:rsidRPr="00F467F6">
              <w:rPr>
                <w:rFonts w:eastAsia="+mn-ea" w:cstheme="minorHAnsi"/>
                <w:color w:val="221E1F"/>
                <w:kern w:val="24"/>
                <w:sz w:val="20"/>
              </w:rPr>
              <w:t xml:space="preserve">. </w:t>
            </w:r>
            <w:r w:rsidR="00251A05" w:rsidRPr="00F467F6">
              <w:rPr>
                <w:rFonts w:eastAsia="+mn-ea" w:cstheme="minorHAnsi"/>
                <w:color w:val="221E1F"/>
                <w:kern w:val="24"/>
                <w:sz w:val="20"/>
              </w:rPr>
              <w:t xml:space="preserve">(p. 1). Berkeley, CA: </w:t>
            </w:r>
            <w:proofErr w:type="spellStart"/>
            <w:r w:rsidR="00251A05" w:rsidRPr="00F467F6">
              <w:rPr>
                <w:rFonts w:eastAsia="+mn-ea" w:cstheme="minorHAnsi"/>
                <w:color w:val="221E1F"/>
                <w:kern w:val="24"/>
                <w:sz w:val="20"/>
              </w:rPr>
              <w:t>Cenrer</w:t>
            </w:r>
            <w:proofErr w:type="spellEnd"/>
            <w:r w:rsidR="00251A05" w:rsidRPr="00F467F6">
              <w:rPr>
                <w:rFonts w:eastAsia="+mn-ea" w:cstheme="minorHAnsi"/>
                <w:color w:val="221E1F"/>
                <w:kern w:val="24"/>
                <w:sz w:val="20"/>
              </w:rPr>
              <w:t xml:space="preserve"> for the Study of Child Care Employment. </w:t>
            </w:r>
            <w:hyperlink r:id="rId16" w:history="1">
              <w:r w:rsidR="00F467F6" w:rsidRPr="00F467F6">
                <w:rPr>
                  <w:rStyle w:val="Hyperlink"/>
                  <w:rFonts w:eastAsia="+mn-ea" w:cstheme="minorHAnsi"/>
                  <w:b/>
                  <w:kern w:val="24"/>
                  <w:sz w:val="20"/>
                  <w:u w:val="none"/>
                </w:rPr>
                <w:t>http://cscce.berkeley.edu/preparing-teachers-of-young-children-the-current-state-of-knowledge-and-a-blueprint-for-the-future/</w:t>
              </w:r>
            </w:hyperlink>
          </w:p>
          <w:p w14:paraId="7F54174E" w14:textId="77777777" w:rsidR="000F31E9" w:rsidRPr="00A26B60" w:rsidRDefault="000F31E9" w:rsidP="00146A6B">
            <w:pPr>
              <w:rPr>
                <w:b/>
                <w:sz w:val="12"/>
              </w:rPr>
            </w:pPr>
          </w:p>
          <w:p w14:paraId="11A682E7" w14:textId="34B3B880" w:rsidR="000F31E9" w:rsidRPr="000F31E9" w:rsidRDefault="000F31E9" w:rsidP="000F31E9">
            <w:pPr>
              <w:rPr>
                <w:b/>
              </w:rPr>
            </w:pPr>
            <w:r w:rsidRPr="000F31E9">
              <w:rPr>
                <w:b/>
              </w:rPr>
              <w:t xml:space="preserve">Children whose full participation is supported early on </w:t>
            </w:r>
            <w:r w:rsidR="004373B7">
              <w:rPr>
                <w:b/>
              </w:rPr>
              <w:t xml:space="preserve">in welcoming environments </w:t>
            </w:r>
            <w:r w:rsidRPr="000F31E9">
              <w:rPr>
                <w:b/>
              </w:rPr>
              <w:t>see themselves as capable and have a better chance of doing well throughout their educational journey</w:t>
            </w:r>
            <w:r w:rsidR="00155F01">
              <w:rPr>
                <w:b/>
              </w:rPr>
              <w:t>.</w:t>
            </w:r>
          </w:p>
          <w:p w14:paraId="507A4DCE" w14:textId="77777777" w:rsidR="000F31E9" w:rsidRPr="001C0EB0" w:rsidRDefault="00155F01" w:rsidP="00155F01">
            <w:pPr>
              <w:ind w:left="245" w:hanging="245"/>
              <w:rPr>
                <w:sz w:val="20"/>
                <w:szCs w:val="20"/>
              </w:rPr>
            </w:pPr>
            <w:r w:rsidRPr="001C0EB0">
              <w:rPr>
                <w:sz w:val="20"/>
                <w:szCs w:val="20"/>
              </w:rPr>
              <w:t xml:space="preserve">Alexander, K.L., </w:t>
            </w:r>
            <w:proofErr w:type="spellStart"/>
            <w:r w:rsidRPr="001C0EB0">
              <w:rPr>
                <w:sz w:val="20"/>
                <w:szCs w:val="20"/>
              </w:rPr>
              <w:t>Entwisle</w:t>
            </w:r>
            <w:proofErr w:type="spellEnd"/>
            <w:r w:rsidRPr="001C0EB0">
              <w:rPr>
                <w:sz w:val="20"/>
                <w:szCs w:val="20"/>
              </w:rPr>
              <w:t xml:space="preserve">, D.R., &amp; Dauber, S.L. (1993). First-grade classroom behavior: Its short and long-term consequences for school performance. </w:t>
            </w:r>
            <w:r w:rsidRPr="001C0EB0">
              <w:rPr>
                <w:i/>
                <w:iCs/>
                <w:sz w:val="20"/>
                <w:szCs w:val="20"/>
              </w:rPr>
              <w:t>Child Development, 64</w:t>
            </w:r>
            <w:r w:rsidRPr="001C0EB0">
              <w:rPr>
                <w:sz w:val="20"/>
                <w:szCs w:val="20"/>
              </w:rPr>
              <w:t>, 801–814</w:t>
            </w:r>
            <w:r w:rsidR="00B31105" w:rsidRPr="001C0EB0">
              <w:rPr>
                <w:sz w:val="20"/>
                <w:szCs w:val="20"/>
              </w:rPr>
              <w:t>.</w:t>
            </w:r>
          </w:p>
          <w:p w14:paraId="6684CF01" w14:textId="77777777" w:rsidR="00B31105" w:rsidRDefault="00B31105" w:rsidP="00B31105">
            <w:pPr>
              <w:ind w:left="245" w:hanging="245"/>
              <w:rPr>
                <w:b/>
                <w:bCs/>
              </w:rPr>
            </w:pPr>
            <w:r w:rsidRPr="001C0EB0">
              <w:rPr>
                <w:sz w:val="20"/>
                <w:szCs w:val="20"/>
              </w:rPr>
              <w:t xml:space="preserve">NAEYC. (2009). </w:t>
            </w:r>
            <w:r w:rsidRPr="001C0EB0">
              <w:rPr>
                <w:i/>
                <w:iCs/>
                <w:sz w:val="20"/>
                <w:szCs w:val="20"/>
              </w:rPr>
              <w:t>Where we stand on responding to linguistic and cultural diversity: Recommendations for effective early childhood education</w:t>
            </w:r>
            <w:r w:rsidRPr="001C0EB0">
              <w:rPr>
                <w:sz w:val="20"/>
                <w:szCs w:val="20"/>
              </w:rPr>
              <w:t xml:space="preserve">. </w:t>
            </w:r>
            <w:hyperlink r:id="rId17" w:history="1">
              <w:r w:rsidRPr="001C0EB0">
                <w:rPr>
                  <w:rStyle w:val="Hyperlink"/>
                  <w:b/>
                  <w:bCs/>
                  <w:sz w:val="20"/>
                  <w:szCs w:val="20"/>
                  <w:u w:val="none"/>
                </w:rPr>
                <w:t>http://www.naeyc.org/files/naeyc/file/positions/WWSEnglishLanguageLearnersWeb.pdf</w:t>
              </w:r>
            </w:hyperlink>
            <w:r w:rsidRPr="00B31105">
              <w:rPr>
                <w:b/>
                <w:bCs/>
              </w:rPr>
              <w:t xml:space="preserve"> </w:t>
            </w:r>
          </w:p>
          <w:p w14:paraId="48F12D7A" w14:textId="08833C34" w:rsidR="005A6BD6" w:rsidRPr="00A26B60" w:rsidRDefault="005A6BD6" w:rsidP="005A6BD6">
            <w:pPr>
              <w:rPr>
                <w:sz w:val="12"/>
              </w:rPr>
            </w:pPr>
          </w:p>
          <w:p w14:paraId="2A543B8A" w14:textId="1A1A3880" w:rsidR="005A6BD6" w:rsidRPr="005A6BD6" w:rsidRDefault="005A6BD6" w:rsidP="005A6BD6">
            <w:pPr>
              <w:rPr>
                <w:b/>
              </w:rPr>
            </w:pPr>
            <w:r w:rsidRPr="005A6BD6">
              <w:rPr>
                <w:b/>
              </w:rPr>
              <w:t xml:space="preserve">When children do not see themselves represented [in environments], it can harm their self-concept and sense of belonging. Children who are not represented may not be as readily accepted by their peers. </w:t>
            </w:r>
          </w:p>
          <w:p w14:paraId="397240E0" w14:textId="77777777" w:rsidR="005A6BD6" w:rsidRDefault="005A6BD6" w:rsidP="00A26B60">
            <w:pPr>
              <w:ind w:left="245" w:hanging="245"/>
              <w:rPr>
                <w:sz w:val="20"/>
              </w:rPr>
            </w:pPr>
            <w:proofErr w:type="spellStart"/>
            <w:r w:rsidRPr="005A6BD6">
              <w:rPr>
                <w:sz w:val="20"/>
              </w:rPr>
              <w:t>Favazza</w:t>
            </w:r>
            <w:proofErr w:type="spellEnd"/>
            <w:r w:rsidRPr="005A6BD6">
              <w:rPr>
                <w:sz w:val="20"/>
              </w:rPr>
              <w:t xml:space="preserve">, P. C., </w:t>
            </w:r>
            <w:proofErr w:type="spellStart"/>
            <w:r w:rsidRPr="005A6BD6">
              <w:rPr>
                <w:sz w:val="20"/>
              </w:rPr>
              <w:t>LaRoe</w:t>
            </w:r>
            <w:proofErr w:type="spellEnd"/>
            <w:r w:rsidRPr="005A6BD6">
              <w:rPr>
                <w:sz w:val="20"/>
              </w:rPr>
              <w:t xml:space="preserve">, J., </w:t>
            </w:r>
            <w:proofErr w:type="spellStart"/>
            <w:r w:rsidRPr="005A6BD6">
              <w:rPr>
                <w:sz w:val="20"/>
              </w:rPr>
              <w:t>Phillipsen</w:t>
            </w:r>
            <w:proofErr w:type="spellEnd"/>
            <w:r w:rsidRPr="005A6BD6">
              <w:rPr>
                <w:sz w:val="20"/>
              </w:rPr>
              <w:t xml:space="preserve">, L., &amp; Kumar, P. (2000). Representing young children with disabilities in classroom environments. </w:t>
            </w:r>
            <w:r w:rsidRPr="005A6BD6">
              <w:rPr>
                <w:i/>
                <w:sz w:val="20"/>
              </w:rPr>
              <w:t>Young Exceptional Children, 3</w:t>
            </w:r>
            <w:r w:rsidRPr="005A6BD6">
              <w:rPr>
                <w:sz w:val="20"/>
              </w:rPr>
              <w:t>(2), 2-8.</w:t>
            </w:r>
          </w:p>
          <w:p w14:paraId="413AB424" w14:textId="77777777" w:rsidR="00A26B60" w:rsidRDefault="00A26B60" w:rsidP="00A26B60">
            <w:pPr>
              <w:ind w:left="245" w:hanging="245"/>
              <w:rPr>
                <w:sz w:val="20"/>
              </w:rPr>
            </w:pPr>
            <w:r>
              <w:rPr>
                <w:sz w:val="20"/>
              </w:rPr>
              <w:t xml:space="preserve">DEC. (2014). Recommended practices for environment. </w:t>
            </w:r>
            <w:hyperlink r:id="rId18" w:history="1">
              <w:r w:rsidR="00952E02" w:rsidRPr="00952E02">
                <w:rPr>
                  <w:rStyle w:val="Hyperlink"/>
                  <w:b/>
                  <w:sz w:val="20"/>
                  <w:u w:val="none"/>
                </w:rPr>
                <w:t>http://ectacenter.org/decrp/topic-environment.asp</w:t>
              </w:r>
            </w:hyperlink>
            <w:r w:rsidR="00952E02">
              <w:rPr>
                <w:sz w:val="20"/>
              </w:rPr>
              <w:t xml:space="preserve"> </w:t>
            </w:r>
          </w:p>
          <w:p w14:paraId="188DFB07" w14:textId="1888553D" w:rsidR="00952E02" w:rsidRPr="00C71DAB" w:rsidRDefault="00952E02" w:rsidP="00A26B60">
            <w:pPr>
              <w:ind w:left="245" w:hanging="245"/>
              <w:rPr>
                <w:sz w:val="18"/>
              </w:rPr>
            </w:pPr>
          </w:p>
        </w:tc>
      </w:tr>
      <w:tr w:rsidR="000D6E8C" w:rsidRPr="00462C96" w14:paraId="0BEE734C" w14:textId="77777777" w:rsidTr="00F67747">
        <w:trPr>
          <w:gridAfter w:val="4"/>
          <w:wAfter w:w="525" w:type="dxa"/>
          <w:jc w:val="center"/>
        </w:trPr>
        <w:tc>
          <w:tcPr>
            <w:tcW w:w="2695" w:type="dxa"/>
            <w:vAlign w:val="center"/>
          </w:tcPr>
          <w:p w14:paraId="116303F0" w14:textId="62F72CA6" w:rsidR="000D6E8C" w:rsidRPr="00A26B60" w:rsidRDefault="000D6E8C" w:rsidP="00A26B60">
            <w:pPr>
              <w:rPr>
                <w:rFonts w:ascii="Palatino Linotype" w:hAnsi="Palatino Linotype"/>
                <w:b/>
                <w:sz w:val="21"/>
                <w:szCs w:val="21"/>
              </w:rPr>
            </w:pPr>
            <w:r w:rsidRPr="00A26B60">
              <w:rPr>
                <w:rFonts w:ascii="Palatino Linotype" w:hAnsi="Palatino Linotype"/>
                <w:b/>
                <w:sz w:val="21"/>
                <w:szCs w:val="21"/>
              </w:rPr>
              <w:t xml:space="preserve">For </w:t>
            </w:r>
            <w:proofErr w:type="gramStart"/>
            <w:r w:rsidRPr="00A26B60">
              <w:rPr>
                <w:rFonts w:ascii="Palatino Linotype" w:hAnsi="Palatino Linotype"/>
                <w:b/>
                <w:sz w:val="21"/>
                <w:szCs w:val="21"/>
              </w:rPr>
              <w:t>each and every</w:t>
            </w:r>
            <w:proofErr w:type="gramEnd"/>
            <w:r w:rsidRPr="00A26B60">
              <w:rPr>
                <w:rFonts w:ascii="Palatino Linotype" w:hAnsi="Palatino Linotype"/>
                <w:b/>
                <w:sz w:val="21"/>
                <w:szCs w:val="21"/>
              </w:rPr>
              <w:t xml:space="preserve"> family, we will respect and support them as experts, partners, and decision makers in the learning and development of their children.</w:t>
            </w:r>
          </w:p>
          <w:p w14:paraId="1F11BF11" w14:textId="29147897" w:rsidR="000D6E8C" w:rsidRPr="00367C09" w:rsidRDefault="000D6E8C" w:rsidP="00367C09">
            <w:pPr>
              <w:jc w:val="center"/>
            </w:pPr>
          </w:p>
        </w:tc>
        <w:tc>
          <w:tcPr>
            <w:tcW w:w="10195" w:type="dxa"/>
            <w:gridSpan w:val="7"/>
            <w:vAlign w:val="center"/>
          </w:tcPr>
          <w:p w14:paraId="47C3A0F2" w14:textId="7AC3BF66" w:rsidR="000D6E8C" w:rsidRPr="00E91BB1" w:rsidRDefault="001F09CA" w:rsidP="00F82178">
            <w:pPr>
              <w:kinsoku w:val="0"/>
              <w:overflowPunct w:val="0"/>
              <w:textAlignment w:val="baseline"/>
              <w:rPr>
                <w:b/>
              </w:rPr>
            </w:pPr>
            <w:r w:rsidRPr="00E91BB1">
              <w:rPr>
                <w:b/>
              </w:rPr>
              <w:t>Family engagement is one of the strongest predictors of children’s school success, according to more than 40 years of steadily accumulating evidence</w:t>
            </w:r>
            <w:r w:rsidR="006011DF">
              <w:rPr>
                <w:b/>
              </w:rPr>
              <w:t>.</w:t>
            </w:r>
          </w:p>
          <w:p w14:paraId="5D124173" w14:textId="0EAE1B76" w:rsidR="00D40D55" w:rsidRPr="00E91BB1" w:rsidRDefault="00D40D55" w:rsidP="00F82178">
            <w:pPr>
              <w:kinsoku w:val="0"/>
              <w:overflowPunct w:val="0"/>
              <w:ind w:left="187" w:hanging="187"/>
              <w:textAlignment w:val="baseline"/>
              <w:rPr>
                <w:rFonts w:eastAsia="+mn-ea" w:cs="+mn-cs"/>
                <w:color w:val="000000"/>
                <w:sz w:val="20"/>
                <w:szCs w:val="20"/>
              </w:rPr>
            </w:pPr>
            <w:r w:rsidRPr="00E91BB1">
              <w:rPr>
                <w:rFonts w:eastAsia="+mn-ea" w:cs="+mn-cs"/>
                <w:color w:val="000000"/>
                <w:sz w:val="20"/>
                <w:szCs w:val="20"/>
              </w:rPr>
              <w:t xml:space="preserve">California Department of Education. (2011). </w:t>
            </w:r>
            <w:r w:rsidRPr="001C0EB0">
              <w:rPr>
                <w:rFonts w:eastAsia="+mn-ea" w:cs="+mn-cs"/>
                <w:i/>
                <w:color w:val="000000"/>
                <w:sz w:val="20"/>
                <w:szCs w:val="20"/>
              </w:rPr>
              <w:t>Family engagement framework: A tool for California school districts.</w:t>
            </w:r>
            <w:r w:rsidRPr="00E91BB1">
              <w:rPr>
                <w:rFonts w:eastAsia="+mn-ea" w:cs="+mn-cs"/>
                <w:color w:val="000000"/>
                <w:sz w:val="20"/>
                <w:szCs w:val="20"/>
              </w:rPr>
              <w:t xml:space="preserve"> Sacramento, CA: Author. </w:t>
            </w:r>
            <w:hyperlink r:id="rId19" w:history="1">
              <w:r w:rsidR="00B47C23" w:rsidRPr="00E91BB1">
                <w:rPr>
                  <w:rStyle w:val="Hyperlink"/>
                  <w:rFonts w:eastAsia="+mn-ea" w:cs="+mn-cs"/>
                  <w:b/>
                  <w:sz w:val="20"/>
                  <w:szCs w:val="20"/>
                  <w:u w:val="none"/>
                </w:rPr>
                <w:t>http://www.wested.org/online_pubs/cpei/family-engagement-framework.pdf</w:t>
              </w:r>
            </w:hyperlink>
            <w:r w:rsidR="00B47C23" w:rsidRPr="00E91BB1">
              <w:rPr>
                <w:rFonts w:eastAsia="+mn-ea" w:cs="+mn-cs"/>
                <w:b/>
                <w:color w:val="000000"/>
                <w:sz w:val="20"/>
                <w:szCs w:val="20"/>
              </w:rPr>
              <w:t xml:space="preserve"> </w:t>
            </w:r>
            <w:r w:rsidR="00B47C23" w:rsidRPr="00E91BB1">
              <w:rPr>
                <w:rFonts w:eastAsia="+mn-ea" w:cs="+mn-cs"/>
                <w:color w:val="000000"/>
                <w:sz w:val="20"/>
                <w:szCs w:val="20"/>
              </w:rPr>
              <w:t xml:space="preserve">  </w:t>
            </w:r>
          </w:p>
          <w:p w14:paraId="648E1C13" w14:textId="77777777" w:rsidR="000D6E8C" w:rsidRPr="00E91BB1" w:rsidRDefault="000D6E8C" w:rsidP="00F82178">
            <w:pPr>
              <w:kinsoku w:val="0"/>
              <w:overflowPunct w:val="0"/>
              <w:ind w:left="187" w:hanging="187"/>
              <w:textAlignment w:val="baseline"/>
              <w:rPr>
                <w:rFonts w:eastAsia="+mn-ea" w:cs="+mn-cs"/>
                <w:color w:val="000000"/>
                <w:sz w:val="20"/>
                <w:szCs w:val="20"/>
              </w:rPr>
            </w:pPr>
            <w:proofErr w:type="spellStart"/>
            <w:r w:rsidRPr="00E91BB1">
              <w:rPr>
                <w:rFonts w:eastAsia="+mn-ea" w:cs="+mn-cs"/>
                <w:color w:val="000000"/>
                <w:sz w:val="20"/>
                <w:szCs w:val="20"/>
              </w:rPr>
              <w:t>Fantuzzo</w:t>
            </w:r>
            <w:proofErr w:type="spellEnd"/>
            <w:r w:rsidRPr="00E91BB1">
              <w:rPr>
                <w:rFonts w:eastAsia="+mn-ea" w:cs="+mn-cs"/>
                <w:color w:val="000000"/>
                <w:sz w:val="20"/>
                <w:szCs w:val="20"/>
              </w:rPr>
              <w:t xml:space="preserve">, J., McWayne, C., Perry, M.A., &amp; Childs, S. (2004). Multiple dimensions of family involvement and their relations to behavioral and learning competencies for urban, low-income children. </w:t>
            </w:r>
            <w:r w:rsidRPr="00E91BB1">
              <w:rPr>
                <w:rFonts w:eastAsia="+mn-ea" w:cs="+mn-cs"/>
                <w:i/>
                <w:iCs/>
                <w:color w:val="000000"/>
                <w:sz w:val="20"/>
                <w:szCs w:val="20"/>
              </w:rPr>
              <w:t xml:space="preserve">School Psychology Review, 33(4), </w:t>
            </w:r>
            <w:r w:rsidRPr="00E91BB1">
              <w:rPr>
                <w:rFonts w:eastAsia="+mn-ea" w:cs="+mn-cs"/>
                <w:color w:val="000000"/>
                <w:sz w:val="20"/>
                <w:szCs w:val="20"/>
              </w:rPr>
              <w:t>467-480.</w:t>
            </w:r>
          </w:p>
          <w:p w14:paraId="07D381D4" w14:textId="77777777" w:rsidR="000D6E8C" w:rsidRPr="00E91BB1" w:rsidRDefault="000D6E8C" w:rsidP="00F82178">
            <w:pPr>
              <w:pStyle w:val="NormalWeb"/>
              <w:spacing w:before="0" w:beforeAutospacing="0" w:after="0" w:afterAutospacing="0"/>
              <w:ind w:left="180" w:hanging="180"/>
              <w:rPr>
                <w:rFonts w:asciiTheme="minorHAnsi" w:eastAsiaTheme="minorEastAsia" w:hAnsiTheme="minorHAnsi" w:cstheme="minorBidi"/>
                <w:color w:val="000000" w:themeColor="text1"/>
                <w:kern w:val="24"/>
                <w:sz w:val="20"/>
                <w:szCs w:val="20"/>
              </w:rPr>
            </w:pPr>
            <w:r w:rsidRPr="00E91BB1">
              <w:rPr>
                <w:rFonts w:asciiTheme="minorHAnsi" w:eastAsiaTheme="minorEastAsia" w:hAnsiTheme="minorHAnsi" w:cstheme="minorBidi"/>
                <w:color w:val="000000" w:themeColor="text1"/>
                <w:kern w:val="24"/>
                <w:sz w:val="20"/>
                <w:szCs w:val="20"/>
              </w:rPr>
              <w:t xml:space="preserve">Harvard Family Research Project. (2006, Spring). </w:t>
            </w:r>
            <w:r w:rsidRPr="00E91BB1">
              <w:rPr>
                <w:rFonts w:asciiTheme="minorHAnsi" w:eastAsiaTheme="minorEastAsia" w:hAnsiTheme="minorHAnsi" w:cstheme="minorBidi"/>
                <w:i/>
                <w:color w:val="000000" w:themeColor="text1"/>
                <w:kern w:val="24"/>
                <w:sz w:val="20"/>
                <w:szCs w:val="20"/>
              </w:rPr>
              <w:t>Family involvement makes a difference: Evidence that family involvement promotes school success for every child of every age</w:t>
            </w:r>
            <w:r w:rsidRPr="00E91BB1">
              <w:rPr>
                <w:rFonts w:asciiTheme="minorHAnsi" w:eastAsiaTheme="minorEastAsia" w:hAnsiTheme="minorHAnsi" w:cstheme="minorBidi"/>
                <w:color w:val="000000" w:themeColor="text1"/>
                <w:kern w:val="24"/>
                <w:sz w:val="20"/>
                <w:szCs w:val="20"/>
              </w:rPr>
              <w:t>. Cambridge, MA: Harvard Graduate School of Education, Author.</w:t>
            </w:r>
          </w:p>
          <w:p w14:paraId="1C4B0CA2" w14:textId="77777777" w:rsidR="000D6E8C" w:rsidRPr="00E91BB1" w:rsidRDefault="000D6E8C" w:rsidP="00F82178">
            <w:pPr>
              <w:kinsoku w:val="0"/>
              <w:overflowPunct w:val="0"/>
              <w:ind w:left="187" w:hanging="187"/>
              <w:textAlignment w:val="baseline"/>
              <w:rPr>
                <w:rFonts w:eastAsia="+mn-ea" w:cs="+mn-cs"/>
                <w:color w:val="000000"/>
                <w:sz w:val="20"/>
                <w:szCs w:val="20"/>
              </w:rPr>
            </w:pPr>
            <w:r w:rsidRPr="00E91BB1">
              <w:rPr>
                <w:rFonts w:eastAsia="+mn-ea" w:cs="+mn-cs"/>
                <w:color w:val="000000"/>
                <w:sz w:val="20"/>
                <w:szCs w:val="20"/>
              </w:rPr>
              <w:t xml:space="preserve">McWayne, C., </w:t>
            </w:r>
            <w:proofErr w:type="spellStart"/>
            <w:r w:rsidRPr="00E91BB1">
              <w:rPr>
                <w:rFonts w:eastAsia="+mn-ea" w:cs="+mn-cs"/>
                <w:color w:val="000000"/>
                <w:sz w:val="20"/>
                <w:szCs w:val="20"/>
              </w:rPr>
              <w:t>Fantuzzo</w:t>
            </w:r>
            <w:proofErr w:type="spellEnd"/>
            <w:r w:rsidRPr="00E91BB1">
              <w:rPr>
                <w:rFonts w:eastAsia="+mn-ea" w:cs="+mn-cs"/>
                <w:color w:val="000000"/>
                <w:sz w:val="20"/>
                <w:szCs w:val="20"/>
              </w:rPr>
              <w:t xml:space="preserve">, J., Cohen, H. L., &amp; </w:t>
            </w:r>
            <w:proofErr w:type="spellStart"/>
            <w:r w:rsidRPr="00E91BB1">
              <w:rPr>
                <w:rFonts w:eastAsia="+mn-ea" w:cs="+mn-cs"/>
                <w:color w:val="000000"/>
                <w:sz w:val="20"/>
                <w:szCs w:val="20"/>
              </w:rPr>
              <w:t>Sekino</w:t>
            </w:r>
            <w:proofErr w:type="spellEnd"/>
            <w:r w:rsidRPr="00E91BB1">
              <w:rPr>
                <w:rFonts w:eastAsia="+mn-ea" w:cs="+mn-cs"/>
                <w:color w:val="000000"/>
                <w:sz w:val="20"/>
                <w:szCs w:val="20"/>
              </w:rPr>
              <w:t xml:space="preserve">, Y. (2004). A multivariate examination of parent involvement and the social/academic competencies of urban kindergarten children. </w:t>
            </w:r>
            <w:r w:rsidRPr="00E91BB1">
              <w:rPr>
                <w:rFonts w:eastAsia="+mn-ea" w:cs="+mn-cs"/>
                <w:i/>
                <w:iCs/>
                <w:color w:val="000000"/>
                <w:sz w:val="20"/>
                <w:szCs w:val="20"/>
              </w:rPr>
              <w:t>Psychology in the Schools</w:t>
            </w:r>
            <w:r w:rsidRPr="00E91BB1">
              <w:rPr>
                <w:rFonts w:eastAsia="+mn-ea" w:cs="+mn-cs"/>
                <w:color w:val="000000"/>
                <w:sz w:val="20"/>
                <w:szCs w:val="20"/>
              </w:rPr>
              <w:t xml:space="preserve">, </w:t>
            </w:r>
            <w:r w:rsidRPr="00E91BB1">
              <w:rPr>
                <w:rFonts w:eastAsia="+mn-ea" w:cs="+mn-cs"/>
                <w:i/>
                <w:iCs/>
                <w:color w:val="000000"/>
                <w:sz w:val="20"/>
                <w:szCs w:val="20"/>
              </w:rPr>
              <w:t>41</w:t>
            </w:r>
            <w:r w:rsidRPr="00E91BB1">
              <w:rPr>
                <w:rFonts w:eastAsia="+mn-ea" w:cs="+mn-cs"/>
                <w:color w:val="000000"/>
                <w:sz w:val="20"/>
                <w:szCs w:val="20"/>
              </w:rPr>
              <w:t>(3), 363-377.</w:t>
            </w:r>
          </w:p>
          <w:p w14:paraId="276DAFA3" w14:textId="6E8195CE" w:rsidR="00042265" w:rsidRPr="00E91BB1" w:rsidRDefault="00542574" w:rsidP="00450356">
            <w:pPr>
              <w:kinsoku w:val="0"/>
              <w:overflowPunct w:val="0"/>
              <w:ind w:left="187" w:hanging="187"/>
              <w:textAlignment w:val="baseline"/>
              <w:rPr>
                <w:b/>
                <w:sz w:val="20"/>
                <w:szCs w:val="20"/>
              </w:rPr>
            </w:pPr>
            <w:r w:rsidRPr="00E91BB1">
              <w:rPr>
                <w:sz w:val="20"/>
                <w:szCs w:val="20"/>
              </w:rPr>
              <w:t xml:space="preserve">Technical Assistance ALLIANCE for Parent Centers National Parent Technical Assistance Center. </w:t>
            </w:r>
            <w:r w:rsidR="00042265" w:rsidRPr="00E91BB1">
              <w:rPr>
                <w:sz w:val="20"/>
                <w:szCs w:val="20"/>
              </w:rPr>
              <w:t>(</w:t>
            </w:r>
            <w:r w:rsidR="00D62CE9" w:rsidRPr="00E91BB1">
              <w:rPr>
                <w:sz w:val="20"/>
                <w:szCs w:val="20"/>
              </w:rPr>
              <w:t>n.d.</w:t>
            </w:r>
            <w:r w:rsidR="00042265" w:rsidRPr="00E91BB1">
              <w:rPr>
                <w:sz w:val="20"/>
                <w:szCs w:val="20"/>
              </w:rPr>
              <w:t xml:space="preserve">). </w:t>
            </w:r>
            <w:r w:rsidR="00042265" w:rsidRPr="00E91BB1">
              <w:rPr>
                <w:i/>
                <w:sz w:val="20"/>
                <w:szCs w:val="20"/>
              </w:rPr>
              <w:t>Fostering parent and professional collaboration: Research brief.</w:t>
            </w:r>
            <w:r w:rsidR="00042265" w:rsidRPr="00E91BB1">
              <w:rPr>
                <w:sz w:val="20"/>
                <w:szCs w:val="20"/>
              </w:rPr>
              <w:t xml:space="preserve"> </w:t>
            </w:r>
            <w:r w:rsidR="00750F1C" w:rsidRPr="00E91BB1">
              <w:rPr>
                <w:sz w:val="20"/>
                <w:szCs w:val="20"/>
              </w:rPr>
              <w:t xml:space="preserve">Minneapolis, MN: Author. </w:t>
            </w:r>
            <w:hyperlink r:id="rId20" w:history="1">
              <w:r w:rsidR="00B47C23" w:rsidRPr="00E91BB1">
                <w:rPr>
                  <w:rStyle w:val="Hyperlink"/>
                  <w:b/>
                  <w:sz w:val="20"/>
                  <w:szCs w:val="20"/>
                  <w:u w:val="none"/>
                </w:rPr>
                <w:t>https://www.utoledo.edu/education/grants/</w:t>
              </w:r>
              <w:r w:rsidR="00B47C23" w:rsidRPr="00E91BB1">
                <w:rPr>
                  <w:rStyle w:val="Hyperlink"/>
                  <w:b/>
                  <w:sz w:val="20"/>
                  <w:szCs w:val="20"/>
                  <w:u w:val="none"/>
                </w:rPr>
                <w:br/>
                <w:t>partnerproject/focus/docs/Parent%20and%20Professional%20Collaboration%20Research%20Brief%20-%20Final.pdf</w:t>
              </w:r>
            </w:hyperlink>
            <w:r w:rsidR="00750F1C" w:rsidRPr="00E91BB1">
              <w:rPr>
                <w:b/>
                <w:sz w:val="20"/>
                <w:szCs w:val="20"/>
              </w:rPr>
              <w:t xml:space="preserve"> </w:t>
            </w:r>
          </w:p>
          <w:p w14:paraId="4A22E985" w14:textId="564B6AD8" w:rsidR="000D6E8C" w:rsidRPr="00E91BB1" w:rsidRDefault="000D6E8C" w:rsidP="00450356">
            <w:pPr>
              <w:kinsoku w:val="0"/>
              <w:overflowPunct w:val="0"/>
              <w:ind w:left="187" w:hanging="187"/>
              <w:textAlignment w:val="baseline"/>
              <w:rPr>
                <w:rFonts w:eastAsia="+mn-ea" w:cs="+mn-cs"/>
                <w:b/>
                <w:color w:val="000000"/>
                <w:sz w:val="20"/>
                <w:szCs w:val="20"/>
              </w:rPr>
            </w:pPr>
            <w:r w:rsidRPr="00E91BB1">
              <w:rPr>
                <w:sz w:val="20"/>
                <w:szCs w:val="20"/>
              </w:rPr>
              <w:t>U</w:t>
            </w:r>
            <w:r w:rsidRPr="00E91BB1">
              <w:rPr>
                <w:rFonts w:eastAsia="+mn-ea" w:cs="+mn-cs"/>
                <w:color w:val="000000"/>
                <w:sz w:val="20"/>
                <w:szCs w:val="20"/>
              </w:rPr>
              <w:t xml:space="preserve">.S. Department of Health and Human Services and U.S. Department of Health. (2016). </w:t>
            </w:r>
            <w:hyperlink r:id="rId21" w:tgtFrame="_blank" w:history="1">
              <w:r w:rsidRPr="00E91BB1">
                <w:rPr>
                  <w:rFonts w:eastAsia="+mn-ea" w:cs="+mn-cs"/>
                  <w:i/>
                  <w:color w:val="000000"/>
                  <w:sz w:val="20"/>
                  <w:szCs w:val="20"/>
                </w:rPr>
                <w:t>Family engagement: From the early years to the early grades</w:t>
              </w:r>
            </w:hyperlink>
            <w:r w:rsidRPr="00E91BB1">
              <w:rPr>
                <w:rFonts w:eastAsia="+mn-ea" w:cs="+mn-cs"/>
                <w:i/>
                <w:color w:val="000000"/>
                <w:sz w:val="20"/>
                <w:szCs w:val="20"/>
              </w:rPr>
              <w:t>.</w:t>
            </w:r>
            <w:r w:rsidRPr="00E91BB1">
              <w:rPr>
                <w:rFonts w:eastAsia="+mn-ea" w:cs="+mn-cs"/>
                <w:color w:val="000000"/>
                <w:sz w:val="20"/>
                <w:szCs w:val="20"/>
              </w:rPr>
              <w:t xml:space="preserve"> Washington, DC: Authors.</w:t>
            </w:r>
            <w:r w:rsidR="00450356" w:rsidRPr="00E91BB1">
              <w:rPr>
                <w:rFonts w:eastAsia="+mn-ea" w:cs="+mn-cs"/>
                <w:color w:val="000000"/>
                <w:sz w:val="20"/>
                <w:szCs w:val="20"/>
              </w:rPr>
              <w:t xml:space="preserve"> </w:t>
            </w:r>
            <w:hyperlink r:id="rId22" w:history="1">
              <w:r w:rsidR="00450356" w:rsidRPr="00E91BB1">
                <w:rPr>
                  <w:rStyle w:val="Hyperlink"/>
                  <w:rFonts w:eastAsia="+mn-ea" w:cs="+mn-cs"/>
                  <w:b/>
                  <w:sz w:val="20"/>
                  <w:szCs w:val="20"/>
                  <w:u w:val="none"/>
                </w:rPr>
                <w:t>http://www2.ed.gov/about/inits/ed/earlylearning/files/policy-statement-on-family-engagement.pdf</w:t>
              </w:r>
            </w:hyperlink>
            <w:r w:rsidRPr="00E91BB1">
              <w:rPr>
                <w:rFonts w:eastAsia="+mn-ea" w:cs="+mn-cs"/>
                <w:b/>
                <w:color w:val="000000"/>
                <w:sz w:val="20"/>
                <w:szCs w:val="20"/>
              </w:rPr>
              <w:t xml:space="preserve">  </w:t>
            </w:r>
          </w:p>
          <w:p w14:paraId="1C3DBB4E" w14:textId="38CB4160" w:rsidR="004F28C5" w:rsidRDefault="001C6B62" w:rsidP="004F28C5">
            <w:pPr>
              <w:kinsoku w:val="0"/>
              <w:overflowPunct w:val="0"/>
              <w:ind w:left="187" w:hanging="187"/>
              <w:textAlignment w:val="baseline"/>
              <w:rPr>
                <w:rFonts w:eastAsia="+mn-ea" w:cs="+mn-cs"/>
                <w:b/>
                <w:color w:val="000000"/>
                <w:sz w:val="20"/>
                <w:szCs w:val="20"/>
              </w:rPr>
            </w:pPr>
            <w:r w:rsidRPr="00E91BB1">
              <w:rPr>
                <w:rFonts w:eastAsia="+mn-ea" w:cs="+mn-cs"/>
                <w:color w:val="000000"/>
                <w:sz w:val="20"/>
                <w:szCs w:val="20"/>
              </w:rPr>
              <w:t xml:space="preserve">Weiss, H., Bouffard, S., </w:t>
            </w:r>
            <w:proofErr w:type="spellStart"/>
            <w:r w:rsidRPr="00E91BB1">
              <w:rPr>
                <w:rFonts w:eastAsia="+mn-ea" w:cs="+mn-cs"/>
                <w:color w:val="000000"/>
                <w:sz w:val="20"/>
                <w:szCs w:val="20"/>
              </w:rPr>
              <w:t>Bridglall</w:t>
            </w:r>
            <w:proofErr w:type="spellEnd"/>
            <w:r w:rsidRPr="00E91BB1">
              <w:rPr>
                <w:rFonts w:eastAsia="+mn-ea" w:cs="+mn-cs"/>
                <w:color w:val="000000"/>
                <w:sz w:val="20"/>
                <w:szCs w:val="20"/>
              </w:rPr>
              <w:t xml:space="preserve"> B., &amp; Gordon, E. (2009). </w:t>
            </w:r>
            <w:r w:rsidRPr="004F28C5">
              <w:rPr>
                <w:rFonts w:eastAsia="+mn-ea" w:cs="+mn-cs"/>
                <w:i/>
                <w:color w:val="000000"/>
                <w:sz w:val="20"/>
                <w:szCs w:val="20"/>
              </w:rPr>
              <w:t>Reframing family involvement in education: Supporting families to support educational equity</w:t>
            </w:r>
            <w:r w:rsidRPr="00E91BB1">
              <w:rPr>
                <w:rFonts w:eastAsia="+mn-ea" w:cs="+mn-cs"/>
                <w:color w:val="000000"/>
                <w:sz w:val="20"/>
                <w:szCs w:val="20"/>
              </w:rPr>
              <w:t xml:space="preserve">. New York, NY: Columbia University. </w:t>
            </w:r>
            <w:hyperlink r:id="rId23" w:history="1">
              <w:r w:rsidR="004C49DC" w:rsidRPr="004C49DC">
                <w:rPr>
                  <w:rStyle w:val="Hyperlink"/>
                  <w:rFonts w:eastAsia="+mn-ea" w:cs="+mn-cs"/>
                  <w:b/>
                  <w:sz w:val="20"/>
                  <w:szCs w:val="20"/>
                  <w:u w:val="none"/>
                </w:rPr>
                <w:t>https://files.eric.ed.gov/fulltext/ED523994.pdf</w:t>
              </w:r>
            </w:hyperlink>
            <w:r w:rsidR="004C49DC" w:rsidRPr="004C49DC">
              <w:rPr>
                <w:rFonts w:eastAsia="+mn-ea" w:cs="+mn-cs"/>
                <w:b/>
                <w:color w:val="000000"/>
                <w:sz w:val="20"/>
                <w:szCs w:val="20"/>
              </w:rPr>
              <w:t xml:space="preserve"> </w:t>
            </w:r>
          </w:p>
          <w:p w14:paraId="6897DB23" w14:textId="77777777" w:rsidR="00C71DAB" w:rsidRDefault="00C71DAB" w:rsidP="004F28C5">
            <w:pPr>
              <w:kinsoku w:val="0"/>
              <w:overflowPunct w:val="0"/>
              <w:ind w:left="187" w:hanging="187"/>
              <w:textAlignment w:val="baseline"/>
              <w:rPr>
                <w:rFonts w:eastAsia="+mn-ea" w:cs="+mn-cs"/>
                <w:b/>
                <w:color w:val="000000"/>
                <w:sz w:val="20"/>
                <w:szCs w:val="20"/>
              </w:rPr>
            </w:pPr>
          </w:p>
          <w:p w14:paraId="06DBC1FA" w14:textId="58A06489" w:rsidR="004C49DC" w:rsidRPr="004C49DC" w:rsidRDefault="004C49DC" w:rsidP="004F28C5">
            <w:pPr>
              <w:kinsoku w:val="0"/>
              <w:overflowPunct w:val="0"/>
              <w:ind w:left="187" w:hanging="187"/>
              <w:textAlignment w:val="baseline"/>
              <w:rPr>
                <w:rFonts w:eastAsia="+mn-ea" w:cs="+mn-cs"/>
                <w:color w:val="000000"/>
                <w:sz w:val="8"/>
                <w:szCs w:val="20"/>
              </w:rPr>
            </w:pPr>
          </w:p>
        </w:tc>
      </w:tr>
      <w:tr w:rsidR="00B203DB" w:rsidRPr="00462C96" w14:paraId="0E01E109" w14:textId="77777777" w:rsidTr="00F67747">
        <w:tblPrEx>
          <w:jc w:val="left"/>
        </w:tblPrEx>
        <w:trPr>
          <w:gridAfter w:val="2"/>
          <w:wAfter w:w="100" w:type="dxa"/>
        </w:trPr>
        <w:tc>
          <w:tcPr>
            <w:tcW w:w="2965" w:type="dxa"/>
            <w:gridSpan w:val="4"/>
            <w:shd w:val="clear" w:color="auto" w:fill="D9E2F3" w:themeFill="accent1" w:themeFillTint="33"/>
            <w:vAlign w:val="center"/>
          </w:tcPr>
          <w:p w14:paraId="1F99313B" w14:textId="4485154D" w:rsidR="00B203DB" w:rsidRPr="00462C96" w:rsidRDefault="001F3ED3" w:rsidP="0086774F">
            <w:pPr>
              <w:jc w:val="center"/>
              <w:rPr>
                <w:b/>
              </w:rPr>
            </w:pPr>
            <w:r>
              <w:lastRenderedPageBreak/>
              <w:br w:type="column"/>
            </w:r>
            <w:r w:rsidR="00B203DB">
              <w:br w:type="column"/>
            </w:r>
            <w:r w:rsidR="00B203DB">
              <w:br w:type="column"/>
            </w:r>
            <w:r w:rsidR="0018090B" w:rsidRPr="0018090B">
              <w:rPr>
                <w:b/>
              </w:rPr>
              <w:t>Vermont Guiding</w:t>
            </w:r>
            <w:r w:rsidR="0018090B">
              <w:t xml:space="preserve"> </w:t>
            </w:r>
            <w:r w:rsidR="00B203DB" w:rsidRPr="00462C96">
              <w:rPr>
                <w:b/>
              </w:rPr>
              <w:t>Principle</w:t>
            </w:r>
          </w:p>
        </w:tc>
        <w:tc>
          <w:tcPr>
            <w:tcW w:w="10350" w:type="dxa"/>
            <w:gridSpan w:val="6"/>
            <w:shd w:val="clear" w:color="auto" w:fill="D9E2F3" w:themeFill="accent1" w:themeFillTint="33"/>
            <w:vAlign w:val="center"/>
          </w:tcPr>
          <w:p w14:paraId="530273DB" w14:textId="522395C4" w:rsidR="00B203DB" w:rsidRPr="00462C96" w:rsidRDefault="00B203DB" w:rsidP="0086774F">
            <w:pPr>
              <w:jc w:val="center"/>
              <w:rPr>
                <w:b/>
              </w:rPr>
            </w:pPr>
            <w:r>
              <w:rPr>
                <w:b/>
              </w:rPr>
              <w:t xml:space="preserve">Research and </w:t>
            </w:r>
            <w:r w:rsidRPr="00462C96">
              <w:rPr>
                <w:b/>
              </w:rPr>
              <w:t>Evidence Sources</w:t>
            </w:r>
          </w:p>
        </w:tc>
      </w:tr>
      <w:tr w:rsidR="00B203DB" w:rsidRPr="00462C96" w14:paraId="16C94099" w14:textId="77777777" w:rsidTr="00F67747">
        <w:trPr>
          <w:gridAfter w:val="2"/>
          <w:wAfter w:w="100" w:type="dxa"/>
          <w:jc w:val="center"/>
        </w:trPr>
        <w:tc>
          <w:tcPr>
            <w:tcW w:w="2965" w:type="dxa"/>
            <w:gridSpan w:val="4"/>
            <w:vAlign w:val="center"/>
          </w:tcPr>
          <w:p w14:paraId="502BF89D" w14:textId="75744793" w:rsidR="00B203DB" w:rsidRPr="00A55582" w:rsidRDefault="00B203DB" w:rsidP="00B203DB">
            <w:pPr>
              <w:rPr>
                <w:rFonts w:ascii="Palatino Linotype" w:hAnsi="Palatino Linotype"/>
                <w:b/>
                <w:sz w:val="21"/>
                <w:szCs w:val="21"/>
              </w:rPr>
            </w:pPr>
            <w:r w:rsidRPr="00A55582">
              <w:rPr>
                <w:rFonts w:ascii="Palatino Linotype" w:hAnsi="Palatino Linotype"/>
                <w:b/>
                <w:sz w:val="21"/>
                <w:szCs w:val="21"/>
              </w:rPr>
              <w:t xml:space="preserve">For </w:t>
            </w:r>
            <w:proofErr w:type="gramStart"/>
            <w:r w:rsidRPr="00A55582">
              <w:rPr>
                <w:rFonts w:ascii="Palatino Linotype" w:hAnsi="Palatino Linotype"/>
                <w:b/>
                <w:sz w:val="21"/>
                <w:szCs w:val="21"/>
              </w:rPr>
              <w:t>each and every</w:t>
            </w:r>
            <w:proofErr w:type="gramEnd"/>
            <w:r w:rsidRPr="00A55582">
              <w:rPr>
                <w:rFonts w:ascii="Palatino Linotype" w:hAnsi="Palatino Linotype"/>
                <w:b/>
                <w:sz w:val="21"/>
                <w:szCs w:val="21"/>
              </w:rPr>
              <w:t xml:space="preserve"> family, we will</w:t>
            </w:r>
            <w:r w:rsidRPr="00A55582">
              <w:rPr>
                <w:rFonts w:ascii="Palatino Linotype" w:hAnsi="Palatino Linotype"/>
                <w:sz w:val="23"/>
                <w:szCs w:val="23"/>
              </w:rPr>
              <w:t xml:space="preserve"> </w:t>
            </w:r>
            <w:r w:rsidRPr="00A55582">
              <w:rPr>
                <w:rFonts w:ascii="Palatino Linotype" w:hAnsi="Palatino Linotype"/>
                <w:b/>
                <w:sz w:val="21"/>
                <w:szCs w:val="21"/>
              </w:rPr>
              <w:t>pledge to be open, genuine, reflective, and respectful listeners and communication partners.</w:t>
            </w:r>
          </w:p>
          <w:p w14:paraId="69CD886F" w14:textId="118FAEA7" w:rsidR="00B203DB" w:rsidRPr="003C28C7" w:rsidRDefault="00B203DB" w:rsidP="00367C09">
            <w:pPr>
              <w:jc w:val="center"/>
              <w:rPr>
                <w:rFonts w:ascii="Palatino Linotype" w:hAnsi="Palatino Linotype"/>
                <w:b/>
                <w:sz w:val="21"/>
                <w:szCs w:val="21"/>
                <w:highlight w:val="yellow"/>
              </w:rPr>
            </w:pPr>
          </w:p>
        </w:tc>
        <w:tc>
          <w:tcPr>
            <w:tcW w:w="10350" w:type="dxa"/>
            <w:gridSpan w:val="6"/>
          </w:tcPr>
          <w:p w14:paraId="706A0998" w14:textId="00BBD568" w:rsidR="00B203DB" w:rsidRPr="00CB7180" w:rsidRDefault="00B203DB" w:rsidP="0072129E">
            <w:pPr>
              <w:rPr>
                <w:b/>
              </w:rPr>
            </w:pPr>
            <w:r w:rsidRPr="00CB7180">
              <w:rPr>
                <w:b/>
              </w:rPr>
              <w:t xml:space="preserve">Effective family engagement features consistent, two-way communication [that] is facilitated </w:t>
            </w:r>
          </w:p>
          <w:p w14:paraId="05ACA9AD" w14:textId="345A94B7" w:rsidR="00B203DB" w:rsidRPr="0072129E" w:rsidRDefault="00B203DB" w:rsidP="0072129E">
            <w:pPr>
              <w:rPr>
                <w:b/>
              </w:rPr>
            </w:pPr>
            <w:r w:rsidRPr="0072129E">
              <w:rPr>
                <w:b/>
              </w:rPr>
              <w:t xml:space="preserve">through multiple forms and is responsive to the language </w:t>
            </w:r>
            <w:r>
              <w:rPr>
                <w:b/>
              </w:rPr>
              <w:t>spoken by the family</w:t>
            </w:r>
          </w:p>
          <w:p w14:paraId="75904C94" w14:textId="29699E0B" w:rsidR="00C8009B" w:rsidRPr="001C0EB0" w:rsidRDefault="00C8009B" w:rsidP="00C8009B">
            <w:pPr>
              <w:ind w:left="245" w:hanging="245"/>
              <w:rPr>
                <w:rFonts w:ascii="Calibri" w:eastAsia="Times New Roman" w:hAnsi="Calibri" w:cs="Times New Roman"/>
                <w:b/>
                <w:sz w:val="20"/>
                <w:szCs w:val="20"/>
              </w:rPr>
            </w:pPr>
            <w:r w:rsidRPr="001C0EB0">
              <w:rPr>
                <w:sz w:val="20"/>
                <w:szCs w:val="20"/>
              </w:rPr>
              <w:t xml:space="preserve">Garcia, M. E., </w:t>
            </w:r>
            <w:proofErr w:type="spellStart"/>
            <w:r w:rsidRPr="001C0EB0">
              <w:rPr>
                <w:sz w:val="20"/>
                <w:szCs w:val="20"/>
              </w:rPr>
              <w:t>Frunzi</w:t>
            </w:r>
            <w:proofErr w:type="spellEnd"/>
            <w:r w:rsidRPr="001C0EB0">
              <w:rPr>
                <w:sz w:val="20"/>
                <w:szCs w:val="20"/>
              </w:rPr>
              <w:t xml:space="preserve">, K., Dean, C. B., Flores, N., &amp; Miller, K. B. (2016). </w:t>
            </w:r>
            <w:r w:rsidRPr="001C0EB0">
              <w:rPr>
                <w:i/>
                <w:sz w:val="20"/>
                <w:szCs w:val="20"/>
              </w:rPr>
              <w:t xml:space="preserve">Toolkit of </w:t>
            </w:r>
            <w:r w:rsidR="001C0EB0">
              <w:rPr>
                <w:i/>
                <w:sz w:val="20"/>
                <w:szCs w:val="20"/>
              </w:rPr>
              <w:t>r</w:t>
            </w:r>
            <w:r w:rsidRPr="001C0EB0">
              <w:rPr>
                <w:i/>
                <w:sz w:val="20"/>
                <w:szCs w:val="20"/>
              </w:rPr>
              <w:t xml:space="preserve">esources for </w:t>
            </w:r>
            <w:r w:rsidR="001C0EB0">
              <w:rPr>
                <w:i/>
                <w:sz w:val="20"/>
                <w:szCs w:val="20"/>
              </w:rPr>
              <w:t>e</w:t>
            </w:r>
            <w:r w:rsidRPr="001C0EB0">
              <w:rPr>
                <w:i/>
                <w:sz w:val="20"/>
                <w:szCs w:val="20"/>
              </w:rPr>
              <w:t xml:space="preserve">ngaging </w:t>
            </w:r>
            <w:r w:rsidR="001C0EB0">
              <w:rPr>
                <w:i/>
                <w:sz w:val="20"/>
                <w:szCs w:val="20"/>
              </w:rPr>
              <w:t>f</w:t>
            </w:r>
            <w:r w:rsidRPr="001C0EB0">
              <w:rPr>
                <w:i/>
                <w:sz w:val="20"/>
                <w:szCs w:val="20"/>
              </w:rPr>
              <w:t>amilies and the Community as Partners in Education: Part 3: Building trusting relationships with families and the community through effective communication</w:t>
            </w:r>
            <w:r w:rsidRPr="001C0EB0">
              <w:rPr>
                <w:sz w:val="20"/>
                <w:szCs w:val="20"/>
              </w:rPr>
              <w:t xml:space="preserve"> (REL 2016– 152). Washington, DC: U.S. Department of Education, Institute of Education Sciences, National Center for Education Evaluation and Regional Assistance, Regional Educational Laboratory Pacific. </w:t>
            </w:r>
            <w:hyperlink r:id="rId24" w:history="1">
              <w:r w:rsidRPr="001C0EB0">
                <w:rPr>
                  <w:rFonts w:ascii="Calibri" w:eastAsia="Times New Roman" w:hAnsi="Calibri" w:cs="Times New Roman"/>
                  <w:b/>
                  <w:color w:val="0000FF"/>
                  <w:sz w:val="20"/>
                  <w:szCs w:val="20"/>
                </w:rPr>
                <w:t>http://relpacific.mcrel.org/wp-content/uploads/2016/03/Part-3_Jan2015.pdf</w:t>
              </w:r>
            </w:hyperlink>
          </w:p>
          <w:p w14:paraId="3270693F" w14:textId="143969EC" w:rsidR="00B203DB" w:rsidRPr="001C0EB0" w:rsidRDefault="00B203DB" w:rsidP="00AE35F2">
            <w:pPr>
              <w:ind w:left="245" w:hanging="245"/>
              <w:rPr>
                <w:sz w:val="20"/>
              </w:rPr>
            </w:pPr>
            <w:r w:rsidRPr="001C0EB0">
              <w:rPr>
                <w:sz w:val="20"/>
              </w:rPr>
              <w:t>Halgunseth, L. (200</w:t>
            </w:r>
            <w:r w:rsidR="004C1A36" w:rsidRPr="001C0EB0">
              <w:rPr>
                <w:sz w:val="20"/>
              </w:rPr>
              <w:t>9</w:t>
            </w:r>
            <w:r w:rsidRPr="001C0EB0">
              <w:rPr>
                <w:sz w:val="20"/>
              </w:rPr>
              <w:t xml:space="preserve">). Family engagement, diverse families, and an integrated review of the literature. </w:t>
            </w:r>
            <w:r w:rsidRPr="001C0EB0">
              <w:rPr>
                <w:i/>
                <w:sz w:val="20"/>
              </w:rPr>
              <w:t>Young Children</w:t>
            </w:r>
            <w:r w:rsidR="004C1A36" w:rsidRPr="001C0EB0">
              <w:rPr>
                <w:i/>
                <w:sz w:val="20"/>
              </w:rPr>
              <w:t>.</w:t>
            </w:r>
            <w:r w:rsidRPr="001C0EB0">
              <w:rPr>
                <w:sz w:val="20"/>
              </w:rPr>
              <w:t xml:space="preserve"> </w:t>
            </w:r>
            <w:hyperlink r:id="rId25" w:history="1">
              <w:r w:rsidRPr="001C0EB0">
                <w:rPr>
                  <w:rStyle w:val="Hyperlink"/>
                  <w:b/>
                  <w:sz w:val="18"/>
                  <w:u w:val="none"/>
                </w:rPr>
                <w:t>http://www.buildinitiative.org/Portals/0/Uploads/Documents/Family%20Engagement%20Halgunseth.pdf</w:t>
              </w:r>
            </w:hyperlink>
          </w:p>
          <w:p w14:paraId="122B7540" w14:textId="77777777" w:rsidR="00B85833" w:rsidRPr="00F67747" w:rsidRDefault="00AE35F2" w:rsidP="00AE35F2">
            <w:pPr>
              <w:kinsoku w:val="0"/>
              <w:overflowPunct w:val="0"/>
              <w:ind w:left="245" w:hanging="245"/>
              <w:textAlignment w:val="baseline"/>
              <w:rPr>
                <w:rStyle w:val="Hyperlink"/>
                <w:rFonts w:eastAsia="+mn-ea" w:cs="+mn-cs"/>
                <w:b/>
                <w:sz w:val="20"/>
                <w:szCs w:val="20"/>
                <w:u w:val="none"/>
              </w:rPr>
            </w:pPr>
            <w:r w:rsidRPr="00F67747">
              <w:rPr>
                <w:sz w:val="20"/>
                <w:szCs w:val="20"/>
              </w:rPr>
              <w:t>U</w:t>
            </w:r>
            <w:r w:rsidRPr="00F67747">
              <w:rPr>
                <w:rFonts w:eastAsia="+mn-ea" w:cs="+mn-cs"/>
                <w:color w:val="000000"/>
                <w:sz w:val="20"/>
                <w:szCs w:val="20"/>
              </w:rPr>
              <w:t xml:space="preserve">.S. Department of Health and Human Services and U.S. Department of Health. (2016). </w:t>
            </w:r>
            <w:hyperlink r:id="rId26" w:tgtFrame="_blank" w:history="1">
              <w:r w:rsidRPr="00F67747">
                <w:rPr>
                  <w:rFonts w:eastAsia="+mn-ea" w:cs="+mn-cs"/>
                  <w:i/>
                  <w:color w:val="000000"/>
                  <w:sz w:val="20"/>
                  <w:szCs w:val="20"/>
                </w:rPr>
                <w:t>Family engagement: From the early years to the early grades</w:t>
              </w:r>
            </w:hyperlink>
            <w:r w:rsidRPr="00F67747">
              <w:rPr>
                <w:rFonts w:eastAsia="+mn-ea" w:cs="+mn-cs"/>
                <w:i/>
                <w:color w:val="000000"/>
                <w:sz w:val="20"/>
                <w:szCs w:val="20"/>
              </w:rPr>
              <w:t>.</w:t>
            </w:r>
            <w:r w:rsidRPr="00F67747">
              <w:rPr>
                <w:rFonts w:eastAsia="+mn-ea" w:cs="+mn-cs"/>
                <w:color w:val="000000"/>
                <w:sz w:val="20"/>
                <w:szCs w:val="20"/>
              </w:rPr>
              <w:t xml:space="preserve"> Washington, DC: Authors. </w:t>
            </w:r>
            <w:hyperlink r:id="rId27" w:history="1">
              <w:r w:rsidRPr="00F67747">
                <w:rPr>
                  <w:rStyle w:val="Hyperlink"/>
                  <w:rFonts w:eastAsia="+mn-ea" w:cs="+mn-cs"/>
                  <w:b/>
                  <w:sz w:val="20"/>
                  <w:szCs w:val="20"/>
                  <w:u w:val="none"/>
                </w:rPr>
                <w:t>http://www2.ed.gov/about/inits/ed/earlylearning/files/policy-statement-on-family-engagement.pdf</w:t>
              </w:r>
            </w:hyperlink>
          </w:p>
          <w:p w14:paraId="0CF7F57A" w14:textId="3EBDCB42" w:rsidR="00B4621A" w:rsidRPr="0072129E" w:rsidRDefault="00B4621A" w:rsidP="00AE35F2">
            <w:pPr>
              <w:kinsoku w:val="0"/>
              <w:overflowPunct w:val="0"/>
              <w:ind w:left="245" w:hanging="245"/>
              <w:textAlignment w:val="baseline"/>
            </w:pPr>
          </w:p>
        </w:tc>
      </w:tr>
      <w:tr w:rsidR="00B203DB" w:rsidRPr="00462C96" w14:paraId="1FA33F07" w14:textId="77777777" w:rsidTr="00F67747">
        <w:trPr>
          <w:gridAfter w:val="2"/>
          <w:wAfter w:w="100" w:type="dxa"/>
          <w:jc w:val="center"/>
        </w:trPr>
        <w:tc>
          <w:tcPr>
            <w:tcW w:w="2965" w:type="dxa"/>
            <w:gridSpan w:val="4"/>
            <w:vAlign w:val="center"/>
          </w:tcPr>
          <w:p w14:paraId="10BBB294" w14:textId="1E4A1BA9" w:rsidR="00B203DB" w:rsidRPr="00A55582" w:rsidRDefault="00B203DB" w:rsidP="00B203DB">
            <w:pPr>
              <w:rPr>
                <w:rFonts w:ascii="Palatino Linotype" w:hAnsi="Palatino Linotype"/>
                <w:b/>
                <w:sz w:val="21"/>
                <w:szCs w:val="21"/>
              </w:rPr>
            </w:pPr>
            <w:r w:rsidRPr="00A55582">
              <w:rPr>
                <w:rFonts w:ascii="Palatino Linotype" w:hAnsi="Palatino Linotype"/>
                <w:b/>
                <w:sz w:val="21"/>
                <w:szCs w:val="21"/>
              </w:rPr>
              <w:t xml:space="preserve">For </w:t>
            </w:r>
            <w:proofErr w:type="gramStart"/>
            <w:r w:rsidRPr="00A55582">
              <w:rPr>
                <w:rFonts w:ascii="Palatino Linotype" w:hAnsi="Palatino Linotype"/>
                <w:b/>
                <w:sz w:val="21"/>
                <w:szCs w:val="21"/>
              </w:rPr>
              <w:t>each and every</w:t>
            </w:r>
            <w:proofErr w:type="gramEnd"/>
            <w:r w:rsidRPr="00A55582">
              <w:rPr>
                <w:rFonts w:ascii="Palatino Linotype" w:hAnsi="Palatino Linotype"/>
                <w:b/>
                <w:sz w:val="21"/>
                <w:szCs w:val="21"/>
              </w:rPr>
              <w:t xml:space="preserve"> family, we will</w:t>
            </w:r>
            <w:r w:rsidRPr="00A55582">
              <w:rPr>
                <w:rFonts w:ascii="Palatino Linotype" w:hAnsi="Palatino Linotype"/>
                <w:sz w:val="23"/>
                <w:szCs w:val="23"/>
              </w:rPr>
              <w:t xml:space="preserve"> </w:t>
            </w:r>
            <w:r w:rsidRPr="00A55582">
              <w:rPr>
                <w:rFonts w:ascii="Palatino Linotype" w:hAnsi="Palatino Linotype"/>
                <w:b/>
                <w:sz w:val="21"/>
                <w:szCs w:val="21"/>
              </w:rPr>
              <w:t>build caring communities that are accepting of differences and foster a sense of belonging.</w:t>
            </w:r>
          </w:p>
          <w:p w14:paraId="65E8AD8E" w14:textId="77777777" w:rsidR="00B203DB" w:rsidRPr="003C28C7" w:rsidRDefault="00B203DB" w:rsidP="00367C09">
            <w:pPr>
              <w:jc w:val="center"/>
              <w:rPr>
                <w:rFonts w:ascii="Palatino Linotype" w:hAnsi="Palatino Linotype"/>
                <w:b/>
                <w:sz w:val="21"/>
                <w:szCs w:val="21"/>
                <w:highlight w:val="yellow"/>
              </w:rPr>
            </w:pPr>
          </w:p>
        </w:tc>
        <w:tc>
          <w:tcPr>
            <w:tcW w:w="10350" w:type="dxa"/>
            <w:gridSpan w:val="6"/>
          </w:tcPr>
          <w:p w14:paraId="4639B51C" w14:textId="74B4BAAC" w:rsidR="006D0C51" w:rsidRPr="006D0C51" w:rsidRDefault="000E65C7" w:rsidP="006D0C51">
            <w:pPr>
              <w:rPr>
                <w:b/>
              </w:rPr>
            </w:pPr>
            <w:r w:rsidRPr="000E65C7">
              <w:rPr>
                <w:b/>
              </w:rPr>
              <w:t>When families and the programs where children learn work together and</w:t>
            </w:r>
            <w:r w:rsidR="006D0C51">
              <w:rPr>
                <w:b/>
              </w:rPr>
              <w:t xml:space="preserve"> </w:t>
            </w:r>
            <w:r w:rsidR="006D0C51" w:rsidRPr="006D0C51">
              <w:rPr>
                <w:b/>
              </w:rPr>
              <w:t xml:space="preserve">support each other in their respective roles, children have a more positive attitude toward school, stay in school longer, have better attendance, and experience more school success </w:t>
            </w:r>
          </w:p>
          <w:p w14:paraId="3A23E1AC" w14:textId="2B912F67" w:rsidR="00886272" w:rsidRDefault="001C0EB0" w:rsidP="00886272">
            <w:pPr>
              <w:ind w:left="245" w:hanging="245"/>
              <w:rPr>
                <w:sz w:val="20"/>
              </w:rPr>
            </w:pPr>
            <w:r>
              <w:rPr>
                <w:sz w:val="20"/>
              </w:rPr>
              <w:t>Division for Early Childhood (</w:t>
            </w:r>
            <w:r w:rsidR="00886272">
              <w:rPr>
                <w:sz w:val="20"/>
              </w:rPr>
              <w:t>DEC</w:t>
            </w:r>
            <w:r>
              <w:rPr>
                <w:sz w:val="20"/>
              </w:rPr>
              <w:t>)</w:t>
            </w:r>
            <w:r w:rsidR="00886272">
              <w:rPr>
                <w:sz w:val="20"/>
              </w:rPr>
              <w:t xml:space="preserve">. (2014). </w:t>
            </w:r>
            <w:r w:rsidR="00886272" w:rsidRPr="006D716A">
              <w:rPr>
                <w:i/>
                <w:sz w:val="20"/>
              </w:rPr>
              <w:t>Recommended practices for family</w:t>
            </w:r>
            <w:r w:rsidR="00886272">
              <w:rPr>
                <w:sz w:val="20"/>
              </w:rPr>
              <w:t xml:space="preserve">. </w:t>
            </w:r>
            <w:hyperlink r:id="rId28" w:history="1">
              <w:r w:rsidR="00886272" w:rsidRPr="00110CFC">
                <w:rPr>
                  <w:rStyle w:val="Hyperlink"/>
                  <w:b/>
                  <w:sz w:val="20"/>
                  <w:u w:val="none"/>
                </w:rPr>
                <w:t>http://ectacenter.org/decrp/topic-family.asp</w:t>
              </w:r>
            </w:hyperlink>
            <w:r w:rsidR="00886272">
              <w:rPr>
                <w:b/>
                <w:sz w:val="20"/>
              </w:rPr>
              <w:t xml:space="preserve"> </w:t>
            </w:r>
            <w:r w:rsidR="00886272">
              <w:rPr>
                <w:sz w:val="20"/>
              </w:rPr>
              <w:t xml:space="preserve"> </w:t>
            </w:r>
          </w:p>
          <w:p w14:paraId="735AEE29" w14:textId="1643004D" w:rsidR="003A7D8D" w:rsidRPr="006F6271" w:rsidRDefault="00A35519" w:rsidP="006F6271">
            <w:pPr>
              <w:pStyle w:val="Heading1"/>
              <w:spacing w:before="0"/>
              <w:ind w:left="245" w:hanging="245"/>
              <w:outlineLvl w:val="0"/>
              <w:rPr>
                <w:rFonts w:asciiTheme="minorHAnsi" w:eastAsia="Times New Roman" w:hAnsiTheme="minorHAnsi" w:cstheme="minorHAnsi"/>
                <w:bCs/>
                <w:color w:val="auto"/>
                <w:kern w:val="36"/>
                <w:sz w:val="20"/>
                <w:szCs w:val="20"/>
              </w:rPr>
            </w:pPr>
            <w:r w:rsidRPr="006F6271">
              <w:rPr>
                <w:rFonts w:asciiTheme="minorHAnsi" w:hAnsiTheme="minorHAnsi" w:cstheme="minorHAnsi"/>
                <w:sz w:val="20"/>
                <w:szCs w:val="20"/>
              </w:rPr>
              <w:t xml:space="preserve">DEC/NAEYC. (2009). </w:t>
            </w:r>
            <w:r w:rsidR="003A7D8D" w:rsidRPr="006F6271">
              <w:rPr>
                <w:rFonts w:asciiTheme="minorHAnsi" w:eastAsia="Times New Roman" w:hAnsiTheme="minorHAnsi" w:cstheme="minorHAnsi"/>
                <w:bCs/>
                <w:color w:val="auto"/>
                <w:kern w:val="36"/>
                <w:sz w:val="20"/>
                <w:szCs w:val="20"/>
              </w:rPr>
              <w:t xml:space="preserve">Early </w:t>
            </w:r>
            <w:r w:rsidR="006F6271">
              <w:rPr>
                <w:rFonts w:asciiTheme="minorHAnsi" w:eastAsia="Times New Roman" w:hAnsiTheme="minorHAnsi" w:cstheme="minorHAnsi"/>
                <w:bCs/>
                <w:color w:val="auto"/>
                <w:kern w:val="36"/>
                <w:sz w:val="20"/>
                <w:szCs w:val="20"/>
              </w:rPr>
              <w:t>c</w:t>
            </w:r>
            <w:r w:rsidR="003A7D8D" w:rsidRPr="006F6271">
              <w:rPr>
                <w:rFonts w:asciiTheme="minorHAnsi" w:eastAsia="Times New Roman" w:hAnsiTheme="minorHAnsi" w:cstheme="minorHAnsi"/>
                <w:bCs/>
                <w:color w:val="auto"/>
                <w:kern w:val="36"/>
                <w:sz w:val="20"/>
                <w:szCs w:val="20"/>
              </w:rPr>
              <w:t xml:space="preserve">hildhood </w:t>
            </w:r>
            <w:r w:rsidR="006F6271">
              <w:rPr>
                <w:rFonts w:asciiTheme="minorHAnsi" w:eastAsia="Times New Roman" w:hAnsiTheme="minorHAnsi" w:cstheme="minorHAnsi"/>
                <w:bCs/>
                <w:color w:val="auto"/>
                <w:kern w:val="36"/>
                <w:sz w:val="20"/>
                <w:szCs w:val="20"/>
              </w:rPr>
              <w:t>i</w:t>
            </w:r>
            <w:r w:rsidR="003A7D8D" w:rsidRPr="006F6271">
              <w:rPr>
                <w:rFonts w:asciiTheme="minorHAnsi" w:eastAsia="Times New Roman" w:hAnsiTheme="minorHAnsi" w:cstheme="minorHAnsi"/>
                <w:bCs/>
                <w:color w:val="auto"/>
                <w:kern w:val="36"/>
                <w:sz w:val="20"/>
                <w:szCs w:val="20"/>
              </w:rPr>
              <w:t xml:space="preserve">nclusion: A </w:t>
            </w:r>
            <w:r w:rsidR="006F6271">
              <w:rPr>
                <w:rFonts w:asciiTheme="minorHAnsi" w:eastAsia="Times New Roman" w:hAnsiTheme="minorHAnsi" w:cstheme="minorHAnsi"/>
                <w:bCs/>
                <w:color w:val="auto"/>
                <w:kern w:val="36"/>
                <w:sz w:val="20"/>
                <w:szCs w:val="20"/>
              </w:rPr>
              <w:t>j</w:t>
            </w:r>
            <w:r w:rsidR="003A7D8D" w:rsidRPr="006F6271">
              <w:rPr>
                <w:rFonts w:asciiTheme="minorHAnsi" w:eastAsia="Times New Roman" w:hAnsiTheme="minorHAnsi" w:cstheme="minorHAnsi"/>
                <w:bCs/>
                <w:color w:val="auto"/>
                <w:kern w:val="36"/>
                <w:sz w:val="20"/>
                <w:szCs w:val="20"/>
              </w:rPr>
              <w:t xml:space="preserve">oint </w:t>
            </w:r>
            <w:r w:rsidR="006F6271">
              <w:rPr>
                <w:rFonts w:asciiTheme="minorHAnsi" w:eastAsia="Times New Roman" w:hAnsiTheme="minorHAnsi" w:cstheme="minorHAnsi"/>
                <w:bCs/>
                <w:color w:val="auto"/>
                <w:kern w:val="36"/>
                <w:sz w:val="20"/>
                <w:szCs w:val="20"/>
              </w:rPr>
              <w:t>p</w:t>
            </w:r>
            <w:r w:rsidR="003A7D8D" w:rsidRPr="006F6271">
              <w:rPr>
                <w:rFonts w:asciiTheme="minorHAnsi" w:eastAsia="Times New Roman" w:hAnsiTheme="minorHAnsi" w:cstheme="minorHAnsi"/>
                <w:bCs/>
                <w:color w:val="auto"/>
                <w:kern w:val="36"/>
                <w:sz w:val="20"/>
                <w:szCs w:val="20"/>
              </w:rPr>
              <w:t xml:space="preserve">osition </w:t>
            </w:r>
            <w:r w:rsidR="006F6271">
              <w:rPr>
                <w:rFonts w:asciiTheme="minorHAnsi" w:eastAsia="Times New Roman" w:hAnsiTheme="minorHAnsi" w:cstheme="minorHAnsi"/>
                <w:bCs/>
                <w:color w:val="auto"/>
                <w:kern w:val="36"/>
                <w:sz w:val="20"/>
                <w:szCs w:val="20"/>
              </w:rPr>
              <w:t>s</w:t>
            </w:r>
            <w:r w:rsidR="003A7D8D" w:rsidRPr="006F6271">
              <w:rPr>
                <w:rFonts w:asciiTheme="minorHAnsi" w:eastAsia="Times New Roman" w:hAnsiTheme="minorHAnsi" w:cstheme="minorHAnsi"/>
                <w:bCs/>
                <w:color w:val="auto"/>
                <w:kern w:val="36"/>
                <w:sz w:val="20"/>
                <w:szCs w:val="20"/>
              </w:rPr>
              <w:t>tatement of the Division for Early Childhood (DEC) and the National Association for the Education of Young Children (NAEYC)</w:t>
            </w:r>
            <w:r w:rsidR="006F6271">
              <w:rPr>
                <w:rFonts w:asciiTheme="minorHAnsi" w:eastAsia="Times New Roman" w:hAnsiTheme="minorHAnsi" w:cstheme="minorHAnsi"/>
                <w:bCs/>
                <w:color w:val="auto"/>
                <w:kern w:val="36"/>
                <w:sz w:val="20"/>
                <w:szCs w:val="20"/>
              </w:rPr>
              <w:t xml:space="preserve">. Chapel Hill, NC: NPDCI. </w:t>
            </w:r>
            <w:r w:rsidR="003A7D8D" w:rsidRPr="006F6271">
              <w:rPr>
                <w:rFonts w:asciiTheme="minorHAnsi" w:eastAsia="Times New Roman" w:hAnsiTheme="minorHAnsi" w:cstheme="minorHAnsi"/>
                <w:bCs/>
                <w:color w:val="auto"/>
                <w:kern w:val="36"/>
                <w:sz w:val="20"/>
                <w:szCs w:val="20"/>
              </w:rPr>
              <w:t xml:space="preserve"> </w:t>
            </w:r>
            <w:hyperlink r:id="rId29" w:history="1">
              <w:r w:rsidR="00566656" w:rsidRPr="00566656">
                <w:rPr>
                  <w:rStyle w:val="Hyperlink"/>
                  <w:rFonts w:asciiTheme="minorHAnsi" w:eastAsia="Times New Roman" w:hAnsiTheme="minorHAnsi" w:cstheme="minorHAnsi"/>
                  <w:b/>
                  <w:bCs/>
                  <w:kern w:val="36"/>
                  <w:sz w:val="20"/>
                  <w:szCs w:val="20"/>
                  <w:u w:val="none"/>
                </w:rPr>
                <w:t>https://npdci.fpg.unc.edu/resources/articles/Early_Childhood_Inclusion/</w:t>
              </w:r>
            </w:hyperlink>
            <w:r w:rsidR="00566656" w:rsidRPr="00566656">
              <w:rPr>
                <w:rFonts w:asciiTheme="minorHAnsi" w:eastAsia="Times New Roman" w:hAnsiTheme="minorHAnsi" w:cstheme="minorHAnsi"/>
                <w:b/>
                <w:bCs/>
                <w:color w:val="auto"/>
                <w:kern w:val="36"/>
                <w:sz w:val="20"/>
                <w:szCs w:val="20"/>
              </w:rPr>
              <w:t xml:space="preserve"> </w:t>
            </w:r>
          </w:p>
          <w:p w14:paraId="60A323B6" w14:textId="77777777" w:rsidR="000E65C7" w:rsidRDefault="00DF2AEA" w:rsidP="00852211">
            <w:pPr>
              <w:ind w:left="245" w:hanging="245"/>
              <w:rPr>
                <w:b/>
              </w:rPr>
            </w:pPr>
            <w:r w:rsidRPr="00852211">
              <w:rPr>
                <w:sz w:val="20"/>
              </w:rPr>
              <w:t xml:space="preserve">Henderson, A.T. &amp; Mapp, K.L. (2002). </w:t>
            </w:r>
            <w:r w:rsidRPr="001C0EB0">
              <w:rPr>
                <w:i/>
                <w:sz w:val="20"/>
              </w:rPr>
              <w:t>A new wave of evidence: The impact of school, family and community connections on student achievement.</w:t>
            </w:r>
            <w:r w:rsidRPr="00852211">
              <w:rPr>
                <w:sz w:val="20"/>
              </w:rPr>
              <w:t xml:space="preserve"> Austin: SEDL.</w:t>
            </w:r>
            <w:r w:rsidR="00852211" w:rsidRPr="00852211">
              <w:rPr>
                <w:sz w:val="20"/>
              </w:rPr>
              <w:t xml:space="preserve"> </w:t>
            </w:r>
            <w:hyperlink r:id="rId30" w:history="1">
              <w:r w:rsidR="00852211" w:rsidRPr="00852211">
                <w:rPr>
                  <w:rStyle w:val="Hyperlink"/>
                  <w:b/>
                  <w:sz w:val="20"/>
                  <w:u w:val="none"/>
                </w:rPr>
                <w:t>http://www.sedl.org/pubs/catalog/items/fam33.html</w:t>
              </w:r>
            </w:hyperlink>
            <w:r w:rsidR="00852211" w:rsidRPr="00852211">
              <w:rPr>
                <w:b/>
              </w:rPr>
              <w:t xml:space="preserve"> </w:t>
            </w:r>
          </w:p>
          <w:p w14:paraId="68471303" w14:textId="77777777" w:rsidR="00886272" w:rsidRDefault="00403587" w:rsidP="00852211">
            <w:pPr>
              <w:ind w:left="245" w:hanging="245"/>
              <w:rPr>
                <w:rStyle w:val="Hyperlink"/>
                <w:rFonts w:eastAsia="+mn-ea" w:cs="+mn-cs"/>
                <w:b/>
                <w:sz w:val="20"/>
                <w:szCs w:val="20"/>
                <w:u w:val="none"/>
              </w:rPr>
            </w:pPr>
            <w:r w:rsidRPr="00E91BB1">
              <w:rPr>
                <w:sz w:val="20"/>
                <w:szCs w:val="20"/>
              </w:rPr>
              <w:t>U</w:t>
            </w:r>
            <w:r w:rsidRPr="00E91BB1">
              <w:rPr>
                <w:rFonts w:eastAsia="+mn-ea" w:cs="+mn-cs"/>
                <w:color w:val="000000"/>
                <w:sz w:val="20"/>
                <w:szCs w:val="20"/>
              </w:rPr>
              <w:t xml:space="preserve">.S. Department of Health and Human Services and U.S. Department of Health. (2016). </w:t>
            </w:r>
            <w:hyperlink r:id="rId31" w:tgtFrame="_blank" w:history="1">
              <w:r w:rsidRPr="00E91BB1">
                <w:rPr>
                  <w:rFonts w:eastAsia="+mn-ea" w:cs="+mn-cs"/>
                  <w:i/>
                  <w:color w:val="000000"/>
                  <w:sz w:val="20"/>
                  <w:szCs w:val="20"/>
                </w:rPr>
                <w:t>Family engagement: From the early years to the early grades</w:t>
              </w:r>
            </w:hyperlink>
            <w:r w:rsidRPr="00E91BB1">
              <w:rPr>
                <w:rFonts w:eastAsia="+mn-ea" w:cs="+mn-cs"/>
                <w:i/>
                <w:color w:val="000000"/>
                <w:sz w:val="20"/>
                <w:szCs w:val="20"/>
              </w:rPr>
              <w:t>.</w:t>
            </w:r>
            <w:r w:rsidRPr="00E91BB1">
              <w:rPr>
                <w:rFonts w:eastAsia="+mn-ea" w:cs="+mn-cs"/>
                <w:color w:val="000000"/>
                <w:sz w:val="20"/>
                <w:szCs w:val="20"/>
              </w:rPr>
              <w:t xml:space="preserve"> Washington, DC: Authors. </w:t>
            </w:r>
            <w:hyperlink r:id="rId32" w:history="1">
              <w:r w:rsidRPr="00E91BB1">
                <w:rPr>
                  <w:rStyle w:val="Hyperlink"/>
                  <w:rFonts w:eastAsia="+mn-ea" w:cs="+mn-cs"/>
                  <w:b/>
                  <w:sz w:val="20"/>
                  <w:szCs w:val="20"/>
                  <w:u w:val="none"/>
                </w:rPr>
                <w:t>http://www2.ed.gov/about/inits/ed/earlylearning/files/policy-statement-on-family-engagement.pdf</w:t>
              </w:r>
            </w:hyperlink>
          </w:p>
          <w:p w14:paraId="2A570451" w14:textId="283DDCA9" w:rsidR="00B4621A" w:rsidRPr="00DF2AEA" w:rsidRDefault="00B4621A" w:rsidP="00852211">
            <w:pPr>
              <w:ind w:left="245" w:hanging="245"/>
            </w:pPr>
          </w:p>
        </w:tc>
      </w:tr>
      <w:tr w:rsidR="00B203DB" w:rsidRPr="00462C96" w14:paraId="74FA4FC8" w14:textId="77777777" w:rsidTr="00F67747">
        <w:tblPrEx>
          <w:jc w:val="left"/>
        </w:tblPrEx>
        <w:trPr>
          <w:gridAfter w:val="2"/>
          <w:wAfter w:w="100" w:type="dxa"/>
          <w:trHeight w:val="2780"/>
        </w:trPr>
        <w:tc>
          <w:tcPr>
            <w:tcW w:w="2965" w:type="dxa"/>
            <w:gridSpan w:val="4"/>
            <w:vAlign w:val="center"/>
          </w:tcPr>
          <w:p w14:paraId="4F3E6B97" w14:textId="20DF03E9" w:rsidR="00B203DB" w:rsidRPr="00B203DB" w:rsidRDefault="00B203DB" w:rsidP="00B203DB">
            <w:pPr>
              <w:rPr>
                <w:rFonts w:ascii="Palatino Linotype" w:hAnsi="Palatino Linotype"/>
                <w:b/>
                <w:sz w:val="21"/>
                <w:szCs w:val="21"/>
              </w:rPr>
            </w:pPr>
            <w:r w:rsidRPr="00B203DB">
              <w:rPr>
                <w:rFonts w:ascii="Palatino Linotype" w:hAnsi="Palatino Linotype"/>
                <w:b/>
                <w:sz w:val="21"/>
                <w:szCs w:val="21"/>
              </w:rPr>
              <w:t xml:space="preserve">For </w:t>
            </w:r>
            <w:proofErr w:type="gramStart"/>
            <w:r w:rsidRPr="00B203DB">
              <w:rPr>
                <w:rFonts w:ascii="Palatino Linotype" w:hAnsi="Palatino Linotype"/>
                <w:b/>
                <w:sz w:val="21"/>
                <w:szCs w:val="21"/>
              </w:rPr>
              <w:t>each and every</w:t>
            </w:r>
            <w:proofErr w:type="gramEnd"/>
            <w:r w:rsidRPr="00B203DB">
              <w:rPr>
                <w:rFonts w:ascii="Palatino Linotype" w:hAnsi="Palatino Linotype"/>
                <w:b/>
                <w:sz w:val="21"/>
                <w:szCs w:val="21"/>
              </w:rPr>
              <w:t xml:space="preserve"> child and their family, we will promote understanding of the importance of inclusive and effective early childhood experiences.</w:t>
            </w:r>
          </w:p>
        </w:tc>
        <w:tc>
          <w:tcPr>
            <w:tcW w:w="10350" w:type="dxa"/>
            <w:gridSpan w:val="6"/>
          </w:tcPr>
          <w:p w14:paraId="1F6C028C" w14:textId="69E27763" w:rsidR="00B203DB" w:rsidRPr="00462C96" w:rsidRDefault="00B203DB" w:rsidP="00F82178">
            <w:pPr>
              <w:rPr>
                <w:b/>
              </w:rPr>
            </w:pPr>
            <w:r>
              <w:rPr>
                <w:b/>
              </w:rPr>
              <w:t>Quality i</w:t>
            </w:r>
            <w:r w:rsidRPr="00462C96">
              <w:rPr>
                <w:b/>
              </w:rPr>
              <w:t>nclusion benefits children with and without disabilities</w:t>
            </w:r>
            <w:r w:rsidR="0064406F">
              <w:rPr>
                <w:b/>
              </w:rPr>
              <w:t>.</w:t>
            </w:r>
          </w:p>
          <w:p w14:paraId="0DAA6A5D" w14:textId="77777777" w:rsidR="00B203DB" w:rsidRPr="00462C96" w:rsidRDefault="00B203DB" w:rsidP="00F82178">
            <w:pPr>
              <w:kinsoku w:val="0"/>
              <w:overflowPunct w:val="0"/>
              <w:ind w:left="187" w:hanging="187"/>
              <w:textAlignment w:val="baseline"/>
              <w:rPr>
                <w:rFonts w:eastAsia="+mn-ea" w:cs="+mn-cs"/>
                <w:color w:val="000000"/>
                <w:sz w:val="20"/>
                <w:szCs w:val="20"/>
              </w:rPr>
            </w:pPr>
            <w:proofErr w:type="spellStart"/>
            <w:r w:rsidRPr="00462C96">
              <w:rPr>
                <w:rFonts w:eastAsia="+mn-ea" w:cs="+mn-cs"/>
                <w:color w:val="000000"/>
                <w:sz w:val="20"/>
                <w:szCs w:val="20"/>
              </w:rPr>
              <w:t>Buysse</w:t>
            </w:r>
            <w:proofErr w:type="spellEnd"/>
            <w:r w:rsidRPr="00462C96">
              <w:rPr>
                <w:rFonts w:eastAsia="+mn-ea" w:cs="+mn-cs"/>
                <w:color w:val="000000"/>
                <w:sz w:val="20"/>
                <w:szCs w:val="20"/>
              </w:rPr>
              <w:t xml:space="preserve">, V., Goldman, B. D., &amp; Skinner, M. L. (2002). Setting effects on friendship formation among young children with and without disabilities. </w:t>
            </w:r>
            <w:r w:rsidRPr="00462C96">
              <w:rPr>
                <w:rFonts w:eastAsia="+mn-ea" w:cs="+mn-cs"/>
                <w:i/>
                <w:color w:val="000000"/>
                <w:sz w:val="20"/>
                <w:szCs w:val="20"/>
              </w:rPr>
              <w:t>Exceptional Children, 68</w:t>
            </w:r>
            <w:r w:rsidRPr="00462C96">
              <w:rPr>
                <w:rFonts w:eastAsia="+mn-ea" w:cs="+mn-cs"/>
                <w:color w:val="000000"/>
                <w:sz w:val="20"/>
                <w:szCs w:val="20"/>
              </w:rPr>
              <w:t xml:space="preserve">, 503–517. </w:t>
            </w:r>
          </w:p>
          <w:p w14:paraId="5DBF196C" w14:textId="77777777" w:rsidR="00B203DB" w:rsidRPr="00462C96" w:rsidRDefault="00B203DB" w:rsidP="00F82178">
            <w:pPr>
              <w:kinsoku w:val="0"/>
              <w:overflowPunct w:val="0"/>
              <w:ind w:left="187" w:hanging="187"/>
              <w:textAlignment w:val="baseline"/>
              <w:rPr>
                <w:rFonts w:eastAsia="+mn-ea" w:cs="+mn-cs"/>
                <w:color w:val="000000"/>
                <w:sz w:val="20"/>
                <w:szCs w:val="20"/>
              </w:rPr>
            </w:pPr>
            <w:r w:rsidRPr="00462C96">
              <w:rPr>
                <w:rFonts w:eastAsia="+mn-ea" w:cs="+mn-cs"/>
                <w:color w:val="000000"/>
                <w:sz w:val="20"/>
                <w:szCs w:val="20"/>
              </w:rPr>
              <w:t xml:space="preserve">Cross, A. F., Traub, E. K., </w:t>
            </w:r>
            <w:proofErr w:type="spellStart"/>
            <w:r w:rsidRPr="00462C96">
              <w:rPr>
                <w:rFonts w:eastAsia="+mn-ea" w:cs="+mn-cs"/>
                <w:color w:val="000000"/>
                <w:sz w:val="20"/>
                <w:szCs w:val="20"/>
              </w:rPr>
              <w:t>Hutter-Pishgahi</w:t>
            </w:r>
            <w:proofErr w:type="spellEnd"/>
            <w:r w:rsidRPr="00462C96">
              <w:rPr>
                <w:rFonts w:eastAsia="+mn-ea" w:cs="+mn-cs"/>
                <w:color w:val="000000"/>
                <w:sz w:val="20"/>
                <w:szCs w:val="20"/>
              </w:rPr>
              <w:t xml:space="preserve">, L., &amp; Shelton, G. (2004). Elements for successful inclusion for children with significant disabilities. </w:t>
            </w:r>
            <w:r w:rsidRPr="00462C96">
              <w:rPr>
                <w:rFonts w:eastAsia="+mn-ea" w:cs="+mn-cs"/>
                <w:i/>
                <w:color w:val="000000"/>
                <w:sz w:val="20"/>
                <w:szCs w:val="20"/>
              </w:rPr>
              <w:t>Topics in Early Childhood Special Education, 24</w:t>
            </w:r>
            <w:r w:rsidRPr="00462C96">
              <w:rPr>
                <w:rFonts w:eastAsia="+mn-ea" w:cs="+mn-cs"/>
                <w:color w:val="000000"/>
                <w:sz w:val="20"/>
                <w:szCs w:val="20"/>
              </w:rPr>
              <w:t xml:space="preserve">, 169–183. </w:t>
            </w:r>
          </w:p>
          <w:p w14:paraId="073F2173" w14:textId="77777777" w:rsidR="00B203DB" w:rsidRPr="00462C96" w:rsidRDefault="00B203DB" w:rsidP="00F82178">
            <w:pPr>
              <w:kinsoku w:val="0"/>
              <w:overflowPunct w:val="0"/>
              <w:ind w:left="187" w:hanging="187"/>
              <w:textAlignment w:val="baseline"/>
              <w:rPr>
                <w:rFonts w:eastAsia="+mn-ea" w:cs="+mn-cs"/>
                <w:color w:val="000000"/>
                <w:sz w:val="20"/>
                <w:szCs w:val="20"/>
              </w:rPr>
            </w:pPr>
            <w:proofErr w:type="spellStart"/>
            <w:r w:rsidRPr="00462C96">
              <w:rPr>
                <w:rFonts w:eastAsia="+mn-ea" w:cs="+mn-cs"/>
                <w:color w:val="000000"/>
                <w:sz w:val="20"/>
                <w:szCs w:val="20"/>
              </w:rPr>
              <w:t>Holahan</w:t>
            </w:r>
            <w:proofErr w:type="spellEnd"/>
            <w:r w:rsidRPr="00462C96">
              <w:rPr>
                <w:rFonts w:eastAsia="+mn-ea" w:cs="+mn-cs"/>
                <w:color w:val="000000"/>
                <w:sz w:val="20"/>
                <w:szCs w:val="20"/>
              </w:rPr>
              <w:t xml:space="preserve">, A., &amp; </w:t>
            </w:r>
            <w:proofErr w:type="spellStart"/>
            <w:r w:rsidRPr="00462C96">
              <w:rPr>
                <w:rFonts w:eastAsia="+mn-ea" w:cs="+mn-cs"/>
                <w:color w:val="000000"/>
                <w:sz w:val="20"/>
                <w:szCs w:val="20"/>
              </w:rPr>
              <w:t>Costenbader</w:t>
            </w:r>
            <w:proofErr w:type="spellEnd"/>
            <w:r w:rsidRPr="00462C96">
              <w:rPr>
                <w:rFonts w:eastAsia="+mn-ea" w:cs="+mn-cs"/>
                <w:color w:val="000000"/>
                <w:sz w:val="20"/>
                <w:szCs w:val="20"/>
              </w:rPr>
              <w:t xml:space="preserve">, V. (2000). A comparison of developmental gains for preschool children with disabilities in inclusive and self-contained classrooms. </w:t>
            </w:r>
            <w:r w:rsidRPr="00462C96">
              <w:rPr>
                <w:rFonts w:eastAsia="+mn-ea" w:cs="+mn-cs"/>
                <w:i/>
                <w:color w:val="000000"/>
                <w:sz w:val="20"/>
                <w:szCs w:val="20"/>
              </w:rPr>
              <w:t>Topics in Early Childhood Special Education, 20</w:t>
            </w:r>
            <w:r w:rsidRPr="00462C96">
              <w:rPr>
                <w:rFonts w:eastAsia="+mn-ea" w:cs="+mn-cs"/>
                <w:color w:val="000000"/>
                <w:sz w:val="20"/>
                <w:szCs w:val="20"/>
              </w:rPr>
              <w:t xml:space="preserve">, 224 – 235. </w:t>
            </w:r>
          </w:p>
          <w:p w14:paraId="1BF2EAC2" w14:textId="77777777" w:rsidR="00B203DB" w:rsidRPr="00462C96" w:rsidRDefault="00B203DB" w:rsidP="00F82178">
            <w:pPr>
              <w:kinsoku w:val="0"/>
              <w:overflowPunct w:val="0"/>
              <w:ind w:left="187" w:hanging="187"/>
              <w:textAlignment w:val="baseline"/>
              <w:rPr>
                <w:rFonts w:eastAsia="+mn-ea" w:cs="+mn-cs"/>
                <w:color w:val="000000"/>
                <w:sz w:val="20"/>
                <w:szCs w:val="20"/>
              </w:rPr>
            </w:pPr>
            <w:r w:rsidRPr="00462C96">
              <w:rPr>
                <w:rFonts w:eastAsia="+mn-ea" w:cs="+mn-cs"/>
                <w:color w:val="000000"/>
                <w:sz w:val="20"/>
                <w:szCs w:val="20"/>
              </w:rPr>
              <w:t xml:space="preserve">Odom, S. L., </w:t>
            </w:r>
            <w:proofErr w:type="spellStart"/>
            <w:r w:rsidRPr="00462C96">
              <w:rPr>
                <w:rFonts w:eastAsia="+mn-ea" w:cs="+mn-cs"/>
                <w:color w:val="000000"/>
                <w:sz w:val="20"/>
                <w:szCs w:val="20"/>
              </w:rPr>
              <w:t>Zercher</w:t>
            </w:r>
            <w:proofErr w:type="spellEnd"/>
            <w:r w:rsidRPr="00462C96">
              <w:rPr>
                <w:rFonts w:eastAsia="+mn-ea" w:cs="+mn-cs"/>
                <w:color w:val="000000"/>
                <w:sz w:val="20"/>
                <w:szCs w:val="20"/>
              </w:rPr>
              <w:t xml:space="preserve">, C., Li, S., Marquart, J., Sandall, S., &amp; Brown, W. (2006). Social acceptance and social rejection of young children with disabilities in inclusive classes. </w:t>
            </w:r>
            <w:r w:rsidRPr="00462C96">
              <w:rPr>
                <w:rFonts w:eastAsia="+mn-ea" w:cs="+mn-cs"/>
                <w:i/>
                <w:color w:val="000000"/>
                <w:sz w:val="20"/>
                <w:szCs w:val="20"/>
              </w:rPr>
              <w:t>Journal of Educational Psychology, 98</w:t>
            </w:r>
            <w:r w:rsidRPr="00462C96">
              <w:rPr>
                <w:rFonts w:eastAsia="+mn-ea" w:cs="+mn-cs"/>
                <w:color w:val="000000"/>
                <w:sz w:val="20"/>
                <w:szCs w:val="20"/>
              </w:rPr>
              <w:t xml:space="preserve">, 807-823.  </w:t>
            </w:r>
          </w:p>
          <w:p w14:paraId="0B982C7D" w14:textId="77777777" w:rsidR="00F5257C" w:rsidRDefault="00B203DB" w:rsidP="00CE5257">
            <w:pPr>
              <w:ind w:left="164" w:hanging="164"/>
              <w:rPr>
                <w:rFonts w:eastAsia="+mn-ea" w:cs="+mn-cs"/>
                <w:color w:val="000000"/>
                <w:sz w:val="20"/>
                <w:szCs w:val="20"/>
              </w:rPr>
            </w:pPr>
            <w:r w:rsidRPr="00462C96">
              <w:rPr>
                <w:rFonts w:eastAsia="+mn-ea" w:cs="+mn-cs"/>
                <w:color w:val="000000"/>
                <w:sz w:val="20"/>
                <w:szCs w:val="20"/>
              </w:rPr>
              <w:t xml:space="preserve">Strain, P.S., &amp; </w:t>
            </w:r>
            <w:proofErr w:type="spellStart"/>
            <w:r w:rsidRPr="00462C96">
              <w:rPr>
                <w:rFonts w:eastAsia="+mn-ea" w:cs="+mn-cs"/>
                <w:color w:val="000000"/>
                <w:sz w:val="20"/>
                <w:szCs w:val="20"/>
              </w:rPr>
              <w:t>Hoyson</w:t>
            </w:r>
            <w:proofErr w:type="spellEnd"/>
            <w:r w:rsidRPr="00462C96">
              <w:rPr>
                <w:rFonts w:eastAsia="+mn-ea" w:cs="+mn-cs"/>
                <w:color w:val="000000"/>
                <w:sz w:val="20"/>
                <w:szCs w:val="20"/>
              </w:rPr>
              <w:t xml:space="preserve">, M. (2000). The need for longitudinal, intensive social skill intervention: LEAP follow-up outcomes for children with autism. </w:t>
            </w:r>
            <w:r w:rsidRPr="00462C96">
              <w:rPr>
                <w:rFonts w:eastAsia="+mn-ea" w:cs="+mn-cs"/>
                <w:i/>
                <w:color w:val="000000"/>
                <w:sz w:val="20"/>
                <w:szCs w:val="20"/>
              </w:rPr>
              <w:t>Topics in Early Childhood Special Education, 20</w:t>
            </w:r>
            <w:r w:rsidRPr="00462C96">
              <w:rPr>
                <w:rFonts w:eastAsia="+mn-ea" w:cs="+mn-cs"/>
                <w:color w:val="000000"/>
                <w:sz w:val="20"/>
                <w:szCs w:val="20"/>
              </w:rPr>
              <w:t>, 116 – 122.</w:t>
            </w:r>
          </w:p>
          <w:p w14:paraId="28B26E27" w14:textId="16A029C1" w:rsidR="007E47D0" w:rsidRPr="00CE5257" w:rsidRDefault="007E47D0" w:rsidP="00B4621A">
            <w:pPr>
              <w:rPr>
                <w:rFonts w:eastAsia="+mn-ea" w:cs="+mn-cs"/>
                <w:color w:val="000000"/>
                <w:sz w:val="20"/>
                <w:szCs w:val="20"/>
              </w:rPr>
            </w:pPr>
          </w:p>
        </w:tc>
      </w:tr>
      <w:tr w:rsidR="00B203DB" w:rsidRPr="00462C96" w14:paraId="0ACAC48F" w14:textId="77777777" w:rsidTr="00F67747">
        <w:tblPrEx>
          <w:jc w:val="left"/>
        </w:tblPrEx>
        <w:trPr>
          <w:gridAfter w:val="2"/>
          <w:wAfter w:w="100" w:type="dxa"/>
        </w:trPr>
        <w:tc>
          <w:tcPr>
            <w:tcW w:w="2965" w:type="dxa"/>
            <w:gridSpan w:val="4"/>
            <w:shd w:val="clear" w:color="auto" w:fill="D9E2F3" w:themeFill="accent1" w:themeFillTint="33"/>
            <w:vAlign w:val="center"/>
          </w:tcPr>
          <w:p w14:paraId="000E95A0" w14:textId="3FEB684A" w:rsidR="00B203DB" w:rsidRPr="00462C96" w:rsidRDefault="003347BA" w:rsidP="005373DD">
            <w:pPr>
              <w:jc w:val="center"/>
              <w:rPr>
                <w:b/>
              </w:rPr>
            </w:pPr>
            <w:r>
              <w:lastRenderedPageBreak/>
              <w:br w:type="column"/>
            </w:r>
            <w:r w:rsidR="003C28C7">
              <w:br w:type="column"/>
            </w:r>
            <w:r w:rsidR="00B203DB">
              <w:br w:type="column"/>
            </w:r>
            <w:r w:rsidR="00B203DB">
              <w:br w:type="column"/>
            </w:r>
            <w:r w:rsidR="001C0EB0" w:rsidRPr="001C0EB0">
              <w:rPr>
                <w:b/>
              </w:rPr>
              <w:t>Vermont Guiding</w:t>
            </w:r>
            <w:r w:rsidR="001C0EB0">
              <w:t xml:space="preserve"> </w:t>
            </w:r>
            <w:r w:rsidR="00B203DB" w:rsidRPr="00462C96">
              <w:rPr>
                <w:b/>
              </w:rPr>
              <w:t>Principle</w:t>
            </w:r>
            <w:r w:rsidR="00B203DB">
              <w:rPr>
                <w:b/>
              </w:rPr>
              <w:t>(s)</w:t>
            </w:r>
          </w:p>
        </w:tc>
        <w:tc>
          <w:tcPr>
            <w:tcW w:w="10350" w:type="dxa"/>
            <w:gridSpan w:val="6"/>
            <w:shd w:val="clear" w:color="auto" w:fill="D9E2F3" w:themeFill="accent1" w:themeFillTint="33"/>
            <w:vAlign w:val="center"/>
          </w:tcPr>
          <w:p w14:paraId="4A8ED8CA" w14:textId="31E645F6" w:rsidR="00B203DB" w:rsidRPr="00462C96" w:rsidRDefault="00B203DB" w:rsidP="005373DD">
            <w:pPr>
              <w:jc w:val="center"/>
              <w:rPr>
                <w:b/>
              </w:rPr>
            </w:pPr>
            <w:r>
              <w:rPr>
                <w:b/>
              </w:rPr>
              <w:t xml:space="preserve">Research and </w:t>
            </w:r>
            <w:r w:rsidRPr="00462C96">
              <w:rPr>
                <w:b/>
              </w:rPr>
              <w:t>Evidence Sources</w:t>
            </w:r>
          </w:p>
        </w:tc>
      </w:tr>
      <w:tr w:rsidR="00B203DB" w:rsidRPr="00462C96" w14:paraId="51579F87" w14:textId="77777777" w:rsidTr="00F67747">
        <w:tblPrEx>
          <w:jc w:val="left"/>
        </w:tblPrEx>
        <w:trPr>
          <w:gridAfter w:val="2"/>
          <w:wAfter w:w="100" w:type="dxa"/>
        </w:trPr>
        <w:tc>
          <w:tcPr>
            <w:tcW w:w="2965" w:type="dxa"/>
            <w:gridSpan w:val="4"/>
            <w:vAlign w:val="center"/>
          </w:tcPr>
          <w:p w14:paraId="0A4993CA" w14:textId="0CAAA0D8" w:rsidR="00B203DB" w:rsidRPr="00B85833" w:rsidRDefault="00B203DB" w:rsidP="00B85833">
            <w:pPr>
              <w:rPr>
                <w:rFonts w:ascii="Palatino Linotype" w:hAnsi="Palatino Linotype"/>
                <w:b/>
                <w:sz w:val="21"/>
                <w:szCs w:val="21"/>
              </w:rPr>
            </w:pPr>
            <w:r w:rsidRPr="00B85833">
              <w:rPr>
                <w:rFonts w:ascii="Palatino Linotype" w:hAnsi="Palatino Linotype"/>
                <w:b/>
                <w:sz w:val="21"/>
                <w:szCs w:val="21"/>
              </w:rPr>
              <w:t xml:space="preserve">For </w:t>
            </w:r>
            <w:proofErr w:type="gramStart"/>
            <w:r w:rsidRPr="00B85833">
              <w:rPr>
                <w:rFonts w:ascii="Palatino Linotype" w:hAnsi="Palatino Linotype"/>
                <w:b/>
                <w:sz w:val="21"/>
                <w:szCs w:val="21"/>
              </w:rPr>
              <w:t>each and every</w:t>
            </w:r>
            <w:proofErr w:type="gramEnd"/>
            <w:r w:rsidRPr="00B85833">
              <w:rPr>
                <w:rFonts w:ascii="Palatino Linotype" w:hAnsi="Palatino Linotype"/>
                <w:b/>
                <w:sz w:val="21"/>
                <w:szCs w:val="21"/>
              </w:rPr>
              <w:t xml:space="preserve"> child and their family, we will</w:t>
            </w:r>
            <w:r w:rsidRPr="00B85833">
              <w:rPr>
                <w:rFonts w:ascii="Palatino Linotype" w:hAnsi="Palatino Linotype"/>
                <w:sz w:val="23"/>
                <w:szCs w:val="23"/>
              </w:rPr>
              <w:t xml:space="preserve"> </w:t>
            </w:r>
            <w:r w:rsidRPr="00B85833">
              <w:rPr>
                <w:rFonts w:ascii="Palatino Linotype" w:hAnsi="Palatino Linotype"/>
                <w:b/>
                <w:sz w:val="21"/>
                <w:szCs w:val="21"/>
              </w:rPr>
              <w:t>build equitable access to opportunities, supports, and services.</w:t>
            </w:r>
          </w:p>
        </w:tc>
        <w:tc>
          <w:tcPr>
            <w:tcW w:w="10350" w:type="dxa"/>
            <w:gridSpan w:val="6"/>
            <w:vAlign w:val="center"/>
          </w:tcPr>
          <w:p w14:paraId="195F0721" w14:textId="3B4668BC" w:rsidR="00B203DB" w:rsidRDefault="00B203DB" w:rsidP="0082080A">
            <w:pPr>
              <w:rPr>
                <w:b/>
              </w:rPr>
            </w:pPr>
            <w:r w:rsidRPr="006517C7">
              <w:rPr>
                <w:b/>
              </w:rPr>
              <w:t>Achieving equity means meeting the needs of every child, which includes providing a safe and supportive school environment, access to a well-rounded curriculum and appropriate technology, and regular examination of additional unmet needs.</w:t>
            </w:r>
          </w:p>
          <w:p w14:paraId="5C3393A3" w14:textId="250473B6" w:rsidR="00B203DB" w:rsidRPr="0082080A" w:rsidRDefault="00B203DB" w:rsidP="0082080A">
            <w:pPr>
              <w:ind w:left="245" w:hanging="245"/>
              <w:rPr>
                <w:rFonts w:eastAsia="Times New Roman" w:cstheme="minorHAnsi"/>
                <w:bCs/>
                <w:sz w:val="18"/>
                <w:szCs w:val="19"/>
              </w:rPr>
            </w:pPr>
            <w:r w:rsidRPr="001B2197">
              <w:rPr>
                <w:sz w:val="20"/>
              </w:rPr>
              <w:t>The Aspen Education and Society Program and the Council of Chief State School Officers</w:t>
            </w:r>
            <w:r>
              <w:rPr>
                <w:sz w:val="20"/>
              </w:rPr>
              <w:t xml:space="preserve">. (2018). </w:t>
            </w:r>
            <w:r w:rsidRPr="0082080A">
              <w:rPr>
                <w:i/>
                <w:sz w:val="20"/>
              </w:rPr>
              <w:t>States leading for equity: Promising practices advancing equity commitments</w:t>
            </w:r>
            <w:r>
              <w:rPr>
                <w:sz w:val="20"/>
              </w:rPr>
              <w:t xml:space="preserve">. </w:t>
            </w:r>
            <w:r w:rsidRPr="001B2197">
              <w:rPr>
                <w:sz w:val="20"/>
              </w:rPr>
              <w:t xml:space="preserve">Washington, D.C.: </w:t>
            </w:r>
            <w:r>
              <w:rPr>
                <w:sz w:val="20"/>
              </w:rPr>
              <w:t>Authors</w:t>
            </w:r>
            <w:r w:rsidRPr="001B2197">
              <w:rPr>
                <w:sz w:val="20"/>
              </w:rPr>
              <w:t>.</w:t>
            </w:r>
            <w:r>
              <w:rPr>
                <w:sz w:val="20"/>
              </w:rPr>
              <w:t xml:space="preserve"> </w:t>
            </w:r>
            <w:hyperlink r:id="rId33" w:history="1">
              <w:r w:rsidRPr="0082080A">
                <w:rPr>
                  <w:rStyle w:val="Hyperlink"/>
                  <w:b/>
                  <w:sz w:val="18"/>
                  <w:szCs w:val="19"/>
                  <w:u w:val="none"/>
                </w:rPr>
                <w:t>http://www.ccsso.org/sites/default/files/2018-02/States%20Leading%20for%20Equity%20Online.pdf</w:t>
              </w:r>
            </w:hyperlink>
          </w:p>
          <w:p w14:paraId="43B75C7D" w14:textId="150F259B" w:rsidR="00B203DB" w:rsidRPr="00F5257C" w:rsidRDefault="00B203DB" w:rsidP="00F5257C">
            <w:pPr>
              <w:ind w:left="245" w:hanging="245"/>
              <w:outlineLvl w:val="4"/>
              <w:rPr>
                <w:rFonts w:eastAsia="Times New Roman" w:cstheme="minorHAnsi"/>
                <w:b/>
                <w:bCs/>
                <w:color w:val="0563C1" w:themeColor="hyperlink"/>
                <w:sz w:val="20"/>
                <w:szCs w:val="20"/>
              </w:rPr>
            </w:pPr>
            <w:r w:rsidRPr="00F66502">
              <w:rPr>
                <w:rFonts w:eastAsia="Times New Roman" w:cstheme="minorHAnsi"/>
                <w:bCs/>
                <w:sz w:val="20"/>
                <w:szCs w:val="20"/>
              </w:rPr>
              <w:t xml:space="preserve">Johnson-Staub, C. (2017). </w:t>
            </w:r>
            <w:r w:rsidRPr="00F66502">
              <w:rPr>
                <w:rFonts w:eastAsia="Times New Roman" w:cstheme="minorHAnsi"/>
                <w:bCs/>
                <w:i/>
                <w:sz w:val="20"/>
                <w:szCs w:val="20"/>
              </w:rPr>
              <w:t>Equity starts early: Addressing racial inequities in child care and early education policy</w:t>
            </w:r>
            <w:r w:rsidRPr="00F66502">
              <w:rPr>
                <w:rFonts w:eastAsia="Times New Roman" w:cstheme="minorHAnsi"/>
                <w:bCs/>
                <w:sz w:val="20"/>
                <w:szCs w:val="20"/>
              </w:rPr>
              <w:t xml:space="preserve">. Washington, DC: CLASP.  </w:t>
            </w:r>
            <w:hyperlink r:id="rId34" w:history="1">
              <w:r w:rsidR="0064406F" w:rsidRPr="0064406F">
                <w:rPr>
                  <w:rStyle w:val="Hyperlink"/>
                  <w:rFonts w:eastAsia="Times New Roman" w:cstheme="minorHAnsi"/>
                  <w:b/>
                  <w:bCs/>
                  <w:sz w:val="20"/>
                  <w:szCs w:val="20"/>
                  <w:u w:val="none"/>
                </w:rPr>
                <w:t>https://www.clasp.org/sites/default/files/publications/2017/12/2017_EquityStartsEarly_0.pdf</w:t>
              </w:r>
            </w:hyperlink>
          </w:p>
        </w:tc>
      </w:tr>
      <w:tr w:rsidR="00B203DB" w:rsidRPr="00462C96" w14:paraId="41445DC8" w14:textId="77777777" w:rsidTr="00F67747">
        <w:tblPrEx>
          <w:jc w:val="left"/>
        </w:tblPrEx>
        <w:trPr>
          <w:gridAfter w:val="2"/>
          <w:wAfter w:w="100" w:type="dxa"/>
        </w:trPr>
        <w:tc>
          <w:tcPr>
            <w:tcW w:w="2965" w:type="dxa"/>
            <w:gridSpan w:val="4"/>
            <w:vAlign w:val="center"/>
          </w:tcPr>
          <w:p w14:paraId="298FE1C6" w14:textId="2976B555" w:rsidR="00B203DB" w:rsidRPr="00840217" w:rsidRDefault="00B203DB" w:rsidP="00C05B2F">
            <w:pPr>
              <w:rPr>
                <w:rFonts w:ascii="Palatino Linotype" w:hAnsi="Palatino Linotype"/>
                <w:b/>
                <w:sz w:val="21"/>
                <w:szCs w:val="21"/>
              </w:rPr>
            </w:pPr>
            <w:r w:rsidRPr="00840217">
              <w:rPr>
                <w:rFonts w:ascii="Palatino Linotype" w:hAnsi="Palatino Linotype"/>
                <w:b/>
                <w:sz w:val="21"/>
                <w:szCs w:val="21"/>
              </w:rPr>
              <w:t xml:space="preserve">For </w:t>
            </w:r>
            <w:proofErr w:type="gramStart"/>
            <w:r w:rsidRPr="00840217">
              <w:rPr>
                <w:rFonts w:ascii="Palatino Linotype" w:hAnsi="Palatino Linotype"/>
                <w:b/>
                <w:sz w:val="21"/>
                <w:szCs w:val="21"/>
              </w:rPr>
              <w:t>each and every</w:t>
            </w:r>
            <w:proofErr w:type="gramEnd"/>
            <w:r w:rsidRPr="00840217">
              <w:rPr>
                <w:rFonts w:ascii="Palatino Linotype" w:hAnsi="Palatino Linotype"/>
                <w:b/>
                <w:sz w:val="21"/>
                <w:szCs w:val="21"/>
              </w:rPr>
              <w:t xml:space="preserve"> child and their family, we will</w:t>
            </w:r>
            <w:r w:rsidRPr="00840217">
              <w:rPr>
                <w:rFonts w:ascii="Palatino Linotype" w:hAnsi="Palatino Linotype"/>
                <w:sz w:val="23"/>
                <w:szCs w:val="23"/>
              </w:rPr>
              <w:t xml:space="preserve"> </w:t>
            </w:r>
            <w:r w:rsidR="00C05B2F" w:rsidRPr="00840217">
              <w:rPr>
                <w:rFonts w:ascii="Palatino Linotype" w:hAnsi="Palatino Linotype"/>
                <w:sz w:val="23"/>
                <w:szCs w:val="23"/>
              </w:rPr>
              <w:t>a</w:t>
            </w:r>
            <w:r w:rsidRPr="00840217">
              <w:rPr>
                <w:rFonts w:ascii="Palatino Linotype" w:hAnsi="Palatino Linotype"/>
                <w:b/>
                <w:sz w:val="21"/>
                <w:szCs w:val="21"/>
              </w:rPr>
              <w:t xml:space="preserve">cknowledge </w:t>
            </w:r>
            <w:r w:rsidR="00F67747">
              <w:rPr>
                <w:rFonts w:ascii="Palatino Linotype" w:hAnsi="Palatino Linotype"/>
                <w:b/>
                <w:sz w:val="21"/>
                <w:szCs w:val="21"/>
              </w:rPr>
              <w:t xml:space="preserve">and </w:t>
            </w:r>
            <w:r w:rsidRPr="00840217">
              <w:rPr>
                <w:rFonts w:ascii="Palatino Linotype" w:hAnsi="Palatino Linotype"/>
                <w:b/>
                <w:sz w:val="21"/>
                <w:szCs w:val="21"/>
              </w:rPr>
              <w:t>address biases in ourselves and others and the importance of differences such as race, class, gender, family structure, ability, and sexual orientation.</w:t>
            </w:r>
          </w:p>
        </w:tc>
        <w:tc>
          <w:tcPr>
            <w:tcW w:w="10350" w:type="dxa"/>
            <w:gridSpan w:val="6"/>
          </w:tcPr>
          <w:p w14:paraId="28CE562A" w14:textId="300B1032" w:rsidR="00B203DB" w:rsidRDefault="00F672FA" w:rsidP="00AD7996">
            <w:pPr>
              <w:tabs>
                <w:tab w:val="left" w:pos="8899"/>
              </w:tabs>
              <w:rPr>
                <w:b/>
              </w:rPr>
            </w:pPr>
            <w:r>
              <w:rPr>
                <w:b/>
              </w:rPr>
              <w:t>I</w:t>
            </w:r>
            <w:r w:rsidR="005F1122" w:rsidRPr="005F1122">
              <w:rPr>
                <w:b/>
              </w:rPr>
              <w:t>mplicit biases can complicate educators’ efforts to help students reach their full potential</w:t>
            </w:r>
            <w:r w:rsidR="0064406F">
              <w:rPr>
                <w:b/>
              </w:rPr>
              <w:t>.</w:t>
            </w:r>
          </w:p>
          <w:p w14:paraId="1695D6F4" w14:textId="3964B85D" w:rsidR="00AD7996" w:rsidRPr="00196CC6" w:rsidRDefault="004F4110" w:rsidP="004F4110">
            <w:pPr>
              <w:tabs>
                <w:tab w:val="left" w:pos="8899"/>
              </w:tabs>
              <w:ind w:left="245" w:hanging="245"/>
              <w:rPr>
                <w:sz w:val="20"/>
                <w:szCs w:val="20"/>
              </w:rPr>
            </w:pPr>
            <w:r w:rsidRPr="00196CC6">
              <w:rPr>
                <w:rFonts w:eastAsiaTheme="minorEastAsia"/>
                <w:color w:val="000000"/>
                <w:kern w:val="24"/>
                <w:sz w:val="20"/>
                <w:szCs w:val="20"/>
              </w:rPr>
              <w:t xml:space="preserve">Bradshaw, W. (2012). A framework for providing culturally responsive early intervention services. </w:t>
            </w:r>
            <w:r w:rsidRPr="00196CC6">
              <w:rPr>
                <w:rFonts w:eastAsiaTheme="minorEastAsia"/>
                <w:i/>
                <w:iCs/>
                <w:color w:val="000000"/>
                <w:kern w:val="24"/>
                <w:sz w:val="20"/>
                <w:szCs w:val="20"/>
              </w:rPr>
              <w:t>Young Exceptional Children, 16</w:t>
            </w:r>
            <w:r w:rsidRPr="00196CC6">
              <w:rPr>
                <w:rFonts w:eastAsiaTheme="minorEastAsia"/>
                <w:color w:val="000000"/>
                <w:kern w:val="24"/>
                <w:sz w:val="20"/>
                <w:szCs w:val="20"/>
              </w:rPr>
              <w:t xml:space="preserve">(1), 3-15. </w:t>
            </w:r>
            <w:hyperlink r:id="rId35" w:history="1">
              <w:r w:rsidR="001C0EB0" w:rsidRPr="001C0EB0">
                <w:rPr>
                  <w:rStyle w:val="Hyperlink"/>
                  <w:rFonts w:eastAsiaTheme="minorEastAsia"/>
                  <w:b/>
                  <w:bCs/>
                  <w:kern w:val="24"/>
                  <w:sz w:val="20"/>
                  <w:szCs w:val="20"/>
                  <w:u w:val="none"/>
                </w:rPr>
                <w:t>http://yec.sagepub.com/content/16/1/3.full.pdf+html</w:t>
              </w:r>
            </w:hyperlink>
            <w:r w:rsidR="001C0EB0">
              <w:rPr>
                <w:rFonts w:eastAsiaTheme="minorEastAsia"/>
                <w:b/>
                <w:bCs/>
                <w:color w:val="000000"/>
                <w:kern w:val="24"/>
                <w:sz w:val="20"/>
                <w:szCs w:val="20"/>
              </w:rPr>
              <w:t xml:space="preserve">  </w:t>
            </w:r>
          </w:p>
          <w:p w14:paraId="10239B08" w14:textId="32D1C360" w:rsidR="00AD7996" w:rsidRPr="00196CC6" w:rsidRDefault="00AD7996" w:rsidP="005E0D32">
            <w:pPr>
              <w:tabs>
                <w:tab w:val="left" w:pos="8899"/>
              </w:tabs>
              <w:ind w:left="245" w:hanging="245"/>
              <w:rPr>
                <w:sz w:val="20"/>
                <w:szCs w:val="20"/>
              </w:rPr>
            </w:pPr>
            <w:proofErr w:type="spellStart"/>
            <w:r w:rsidRPr="00196CC6">
              <w:rPr>
                <w:sz w:val="20"/>
                <w:szCs w:val="20"/>
              </w:rPr>
              <w:t>Capatosto</w:t>
            </w:r>
            <w:proofErr w:type="spellEnd"/>
            <w:r w:rsidRPr="00196CC6">
              <w:rPr>
                <w:sz w:val="20"/>
                <w:szCs w:val="20"/>
              </w:rPr>
              <w:t xml:space="preserve">, K. </w:t>
            </w:r>
            <w:r w:rsidR="008E1B81" w:rsidRPr="00196CC6">
              <w:rPr>
                <w:sz w:val="20"/>
                <w:szCs w:val="20"/>
              </w:rPr>
              <w:t xml:space="preserve">(2015). </w:t>
            </w:r>
            <w:r w:rsidRPr="001C0EB0">
              <w:rPr>
                <w:i/>
                <w:sz w:val="20"/>
                <w:szCs w:val="20"/>
              </w:rPr>
              <w:t>Strategies for addressing implicit bias in early childhood education</w:t>
            </w:r>
            <w:r w:rsidR="008E1B81" w:rsidRPr="00196CC6">
              <w:rPr>
                <w:sz w:val="20"/>
                <w:szCs w:val="20"/>
              </w:rPr>
              <w:t xml:space="preserve">. </w:t>
            </w:r>
            <w:r w:rsidR="00D92313" w:rsidRPr="00196CC6">
              <w:rPr>
                <w:sz w:val="20"/>
                <w:szCs w:val="20"/>
              </w:rPr>
              <w:t xml:space="preserve">Columbus, OH: Kirwan Institute. </w:t>
            </w:r>
            <w:hyperlink r:id="rId36" w:history="1">
              <w:r w:rsidR="005E0D32" w:rsidRPr="00196CC6">
                <w:rPr>
                  <w:rStyle w:val="Hyperlink"/>
                  <w:b/>
                  <w:sz w:val="20"/>
                  <w:szCs w:val="20"/>
                  <w:u w:val="none"/>
                </w:rPr>
                <w:t>http://kirwaninstitute.osu.edu/wp-content/uploads/2015/06/implicit-bias-strategies.pdf</w:t>
              </w:r>
            </w:hyperlink>
            <w:r w:rsidR="005E0D32" w:rsidRPr="00196CC6">
              <w:rPr>
                <w:sz w:val="20"/>
                <w:szCs w:val="20"/>
              </w:rPr>
              <w:t xml:space="preserve"> </w:t>
            </w:r>
          </w:p>
          <w:p w14:paraId="5A62FA6A" w14:textId="068D64D8" w:rsidR="003D7B8E" w:rsidRPr="0064406F" w:rsidRDefault="003D7B8E" w:rsidP="0064406F">
            <w:pPr>
              <w:ind w:left="245" w:hanging="245"/>
              <w:rPr>
                <w:sz w:val="20"/>
                <w:szCs w:val="20"/>
              </w:rPr>
            </w:pPr>
            <w:proofErr w:type="spellStart"/>
            <w:r w:rsidRPr="0064406F">
              <w:rPr>
                <w:sz w:val="20"/>
                <w:szCs w:val="20"/>
              </w:rPr>
              <w:t>Derman</w:t>
            </w:r>
            <w:proofErr w:type="spellEnd"/>
            <w:r w:rsidRPr="0064406F">
              <w:rPr>
                <w:sz w:val="20"/>
                <w:szCs w:val="20"/>
              </w:rPr>
              <w:t xml:space="preserve">-Sparks, L., </w:t>
            </w:r>
            <w:proofErr w:type="spellStart"/>
            <w:r w:rsidRPr="0064406F">
              <w:rPr>
                <w:sz w:val="20"/>
                <w:szCs w:val="20"/>
              </w:rPr>
              <w:t>LeeKeenan</w:t>
            </w:r>
            <w:proofErr w:type="spellEnd"/>
            <w:r w:rsidRPr="0064406F">
              <w:rPr>
                <w:sz w:val="20"/>
                <w:szCs w:val="20"/>
              </w:rPr>
              <w:t xml:space="preserve">, D., &amp; Nimmo, J. </w:t>
            </w:r>
            <w:r w:rsidR="00071CAA" w:rsidRPr="0064406F">
              <w:rPr>
                <w:sz w:val="20"/>
                <w:szCs w:val="20"/>
              </w:rPr>
              <w:t xml:space="preserve">(2015). </w:t>
            </w:r>
            <w:r w:rsidR="00B301C2" w:rsidRPr="001C0EB0">
              <w:rPr>
                <w:i/>
                <w:sz w:val="20"/>
                <w:szCs w:val="20"/>
              </w:rPr>
              <w:t xml:space="preserve">Building anti-bias early childhood programs: The </w:t>
            </w:r>
            <w:r w:rsidR="00071CAA" w:rsidRPr="001C0EB0">
              <w:rPr>
                <w:i/>
                <w:sz w:val="20"/>
                <w:szCs w:val="20"/>
              </w:rPr>
              <w:t>r</w:t>
            </w:r>
            <w:r w:rsidR="00B301C2" w:rsidRPr="001C0EB0">
              <w:rPr>
                <w:i/>
                <w:sz w:val="20"/>
                <w:szCs w:val="20"/>
              </w:rPr>
              <w:t xml:space="preserve">ole of the </w:t>
            </w:r>
            <w:r w:rsidR="00071CAA" w:rsidRPr="001C0EB0">
              <w:rPr>
                <w:i/>
                <w:sz w:val="20"/>
                <w:szCs w:val="20"/>
              </w:rPr>
              <w:t>l</w:t>
            </w:r>
            <w:r w:rsidR="00B301C2" w:rsidRPr="001C0EB0">
              <w:rPr>
                <w:i/>
                <w:sz w:val="20"/>
                <w:szCs w:val="20"/>
              </w:rPr>
              <w:t>eader</w:t>
            </w:r>
            <w:r w:rsidR="00071CAA" w:rsidRPr="0064406F">
              <w:rPr>
                <w:b/>
                <w:sz w:val="20"/>
                <w:szCs w:val="20"/>
              </w:rPr>
              <w:t xml:space="preserve">. </w:t>
            </w:r>
            <w:hyperlink r:id="rId37" w:history="1">
              <w:r w:rsidR="0064406F" w:rsidRPr="0064406F">
                <w:rPr>
                  <w:rStyle w:val="Hyperlink"/>
                  <w:b/>
                  <w:sz w:val="20"/>
                  <w:szCs w:val="20"/>
                  <w:u w:val="none"/>
                </w:rPr>
                <w:t>https://www.naeyc.org/resources/pubs/yc/may2015/building-anti-bias-programs</w:t>
              </w:r>
            </w:hyperlink>
            <w:r w:rsidR="00071CAA" w:rsidRPr="0064406F">
              <w:rPr>
                <w:sz w:val="20"/>
                <w:szCs w:val="20"/>
              </w:rPr>
              <w:t xml:space="preserve"> </w:t>
            </w:r>
          </w:p>
          <w:p w14:paraId="0FD539B5" w14:textId="446C29E9" w:rsidR="0057408F" w:rsidRPr="00AD7996" w:rsidRDefault="001B13A3" w:rsidP="0064406F">
            <w:pPr>
              <w:ind w:left="245" w:hanging="245"/>
            </w:pPr>
            <w:proofErr w:type="spellStart"/>
            <w:r w:rsidRPr="0064406F">
              <w:rPr>
                <w:sz w:val="20"/>
                <w:szCs w:val="20"/>
              </w:rPr>
              <w:t>MacLaughlin</w:t>
            </w:r>
            <w:proofErr w:type="spellEnd"/>
            <w:r w:rsidRPr="0064406F">
              <w:rPr>
                <w:sz w:val="20"/>
                <w:szCs w:val="20"/>
              </w:rPr>
              <w:t xml:space="preserve">, S. </w:t>
            </w:r>
            <w:r w:rsidR="004B094D" w:rsidRPr="0064406F">
              <w:rPr>
                <w:sz w:val="20"/>
                <w:szCs w:val="20"/>
              </w:rPr>
              <w:t xml:space="preserve">(2017). </w:t>
            </w:r>
            <w:r w:rsidR="00077D0F" w:rsidRPr="0064406F">
              <w:rPr>
                <w:sz w:val="20"/>
                <w:szCs w:val="20"/>
              </w:rPr>
              <w:t xml:space="preserve">Reflection: The </w:t>
            </w:r>
            <w:r w:rsidR="004B094D" w:rsidRPr="0064406F">
              <w:rPr>
                <w:sz w:val="20"/>
                <w:szCs w:val="20"/>
              </w:rPr>
              <w:t>f</w:t>
            </w:r>
            <w:r w:rsidR="00077D0F" w:rsidRPr="0064406F">
              <w:rPr>
                <w:sz w:val="20"/>
                <w:szCs w:val="20"/>
              </w:rPr>
              <w:t xml:space="preserve">irst </w:t>
            </w:r>
            <w:r w:rsidR="004B094D" w:rsidRPr="0064406F">
              <w:rPr>
                <w:sz w:val="20"/>
                <w:szCs w:val="20"/>
              </w:rPr>
              <w:t>s</w:t>
            </w:r>
            <w:r w:rsidR="00077D0F" w:rsidRPr="0064406F">
              <w:rPr>
                <w:sz w:val="20"/>
                <w:szCs w:val="20"/>
              </w:rPr>
              <w:t xml:space="preserve">tep for </w:t>
            </w:r>
            <w:r w:rsidR="004B094D" w:rsidRPr="0064406F">
              <w:rPr>
                <w:sz w:val="20"/>
                <w:szCs w:val="20"/>
              </w:rPr>
              <w:t>a</w:t>
            </w:r>
            <w:r w:rsidR="00077D0F" w:rsidRPr="0064406F">
              <w:rPr>
                <w:sz w:val="20"/>
                <w:szCs w:val="20"/>
              </w:rPr>
              <w:t xml:space="preserve">ddressing </w:t>
            </w:r>
            <w:r w:rsidR="001C0EB0">
              <w:rPr>
                <w:sz w:val="20"/>
                <w:szCs w:val="20"/>
              </w:rPr>
              <w:t>bi</w:t>
            </w:r>
            <w:r w:rsidR="00077D0F" w:rsidRPr="0064406F">
              <w:rPr>
                <w:sz w:val="20"/>
                <w:szCs w:val="20"/>
              </w:rPr>
              <w:t xml:space="preserve">as in </w:t>
            </w:r>
            <w:r w:rsidR="004B094D" w:rsidRPr="0064406F">
              <w:rPr>
                <w:sz w:val="20"/>
                <w:szCs w:val="20"/>
              </w:rPr>
              <w:t>i</w:t>
            </w:r>
            <w:r w:rsidR="00077D0F" w:rsidRPr="0064406F">
              <w:rPr>
                <w:sz w:val="20"/>
                <w:szCs w:val="20"/>
              </w:rPr>
              <w:t xml:space="preserve">nfant and </w:t>
            </w:r>
            <w:r w:rsidR="004B094D" w:rsidRPr="0064406F">
              <w:rPr>
                <w:sz w:val="20"/>
                <w:szCs w:val="20"/>
              </w:rPr>
              <w:t>t</w:t>
            </w:r>
            <w:r w:rsidR="00077D0F" w:rsidRPr="0064406F">
              <w:rPr>
                <w:sz w:val="20"/>
                <w:szCs w:val="20"/>
              </w:rPr>
              <w:t xml:space="preserve">oddler </w:t>
            </w:r>
            <w:r w:rsidR="00546DD8" w:rsidRPr="0064406F">
              <w:rPr>
                <w:sz w:val="20"/>
                <w:szCs w:val="20"/>
              </w:rPr>
              <w:t>p</w:t>
            </w:r>
            <w:r w:rsidR="00077D0F" w:rsidRPr="0064406F">
              <w:rPr>
                <w:sz w:val="20"/>
                <w:szCs w:val="20"/>
              </w:rPr>
              <w:t>rograms</w:t>
            </w:r>
            <w:r w:rsidR="0064406F">
              <w:rPr>
                <w:sz w:val="20"/>
                <w:szCs w:val="20"/>
              </w:rPr>
              <w:t xml:space="preserve">. </w:t>
            </w:r>
            <w:r w:rsidR="0064406F" w:rsidRPr="0064406F">
              <w:rPr>
                <w:i/>
                <w:sz w:val="20"/>
                <w:szCs w:val="20"/>
              </w:rPr>
              <w:t>Young Children, 72</w:t>
            </w:r>
            <w:r w:rsidR="0064406F">
              <w:rPr>
                <w:sz w:val="20"/>
                <w:szCs w:val="20"/>
              </w:rPr>
              <w:t xml:space="preserve">(5). </w:t>
            </w:r>
            <w:hyperlink r:id="rId38" w:history="1">
              <w:r w:rsidR="00077D0F" w:rsidRPr="0064406F">
                <w:rPr>
                  <w:rFonts w:ascii="Calibri" w:eastAsia="Calibri" w:hAnsi="Calibri" w:cs="Times New Roman"/>
                  <w:b/>
                  <w:bCs/>
                  <w:color w:val="0563C1"/>
                  <w:sz w:val="20"/>
                  <w:szCs w:val="20"/>
                </w:rPr>
                <w:t>https://www.naeyc.org/resources/pubs/yc/nov2017/rocking-and-rolling</w:t>
              </w:r>
            </w:hyperlink>
          </w:p>
        </w:tc>
      </w:tr>
      <w:tr w:rsidR="00B203DB" w:rsidRPr="00462C96" w14:paraId="4FF90405" w14:textId="77777777" w:rsidTr="00F67747">
        <w:tblPrEx>
          <w:jc w:val="left"/>
        </w:tblPrEx>
        <w:trPr>
          <w:gridAfter w:val="2"/>
          <w:wAfter w:w="100" w:type="dxa"/>
        </w:trPr>
        <w:tc>
          <w:tcPr>
            <w:tcW w:w="2965" w:type="dxa"/>
            <w:gridSpan w:val="4"/>
            <w:vAlign w:val="center"/>
          </w:tcPr>
          <w:p w14:paraId="1CC899E9" w14:textId="30880431" w:rsidR="00B203DB" w:rsidRPr="001C0EB0" w:rsidRDefault="00B203DB" w:rsidP="00C05B2F">
            <w:pPr>
              <w:rPr>
                <w:rFonts w:ascii="Palatino Linotype" w:hAnsi="Palatino Linotype"/>
                <w:b/>
                <w:sz w:val="21"/>
                <w:szCs w:val="21"/>
              </w:rPr>
            </w:pPr>
            <w:r w:rsidRPr="001C0EB0">
              <w:rPr>
                <w:rFonts w:ascii="Palatino Linotype" w:hAnsi="Palatino Linotype"/>
                <w:b/>
                <w:sz w:val="21"/>
                <w:szCs w:val="21"/>
              </w:rPr>
              <w:t xml:space="preserve">For </w:t>
            </w:r>
            <w:proofErr w:type="gramStart"/>
            <w:r w:rsidRPr="001C0EB0">
              <w:rPr>
                <w:rFonts w:ascii="Palatino Linotype" w:hAnsi="Palatino Linotype"/>
                <w:b/>
                <w:sz w:val="21"/>
                <w:szCs w:val="21"/>
              </w:rPr>
              <w:t>each and every</w:t>
            </w:r>
            <w:proofErr w:type="gramEnd"/>
            <w:r w:rsidRPr="001C0EB0">
              <w:rPr>
                <w:rFonts w:ascii="Palatino Linotype" w:hAnsi="Palatino Linotype"/>
                <w:b/>
                <w:sz w:val="21"/>
                <w:szCs w:val="21"/>
              </w:rPr>
              <w:t xml:space="preserve"> child and their family, we will advance policies, procedures, programs, and practices that honor and are supportive of each family’s culture, strengths, structure, expertise, and preferences.</w:t>
            </w:r>
          </w:p>
        </w:tc>
        <w:tc>
          <w:tcPr>
            <w:tcW w:w="10350" w:type="dxa"/>
            <w:gridSpan w:val="6"/>
          </w:tcPr>
          <w:p w14:paraId="3B6C8ECE" w14:textId="21409137" w:rsidR="00882836" w:rsidRPr="00DF7661" w:rsidRDefault="001C0EB0" w:rsidP="00882836">
            <w:pPr>
              <w:rPr>
                <w:b/>
              </w:rPr>
            </w:pPr>
            <w:r>
              <w:rPr>
                <w:b/>
              </w:rPr>
              <w:t>S</w:t>
            </w:r>
            <w:r w:rsidR="000E3FA6" w:rsidRPr="00DF7661">
              <w:rPr>
                <w:b/>
              </w:rPr>
              <w:t xml:space="preserve">tandards </w:t>
            </w:r>
            <w:r w:rsidR="00882836" w:rsidRPr="00DF7661">
              <w:rPr>
                <w:b/>
              </w:rPr>
              <w:t>that</w:t>
            </w:r>
            <w:r w:rsidR="003661DE" w:rsidRPr="00DF7661">
              <w:rPr>
                <w:b/>
              </w:rPr>
              <w:t xml:space="preserve"> </w:t>
            </w:r>
            <w:r w:rsidR="00882836" w:rsidRPr="00DF7661">
              <w:rPr>
                <w:b/>
              </w:rPr>
              <w:t>include</w:t>
            </w:r>
            <w:r w:rsidR="000E3FA6" w:rsidRPr="00DF7661">
              <w:rPr>
                <w:b/>
              </w:rPr>
              <w:t xml:space="preserve"> indicators around cultural competency, family engagement, curriculum and learning materials, and other areas can support participation by families and children of diverse backgrounds</w:t>
            </w:r>
            <w:r w:rsidR="00DF7661" w:rsidRPr="00DF7661">
              <w:rPr>
                <w:b/>
              </w:rPr>
              <w:t>.</w:t>
            </w:r>
          </w:p>
          <w:p w14:paraId="272E735D" w14:textId="23A8D144" w:rsidR="00DF7661" w:rsidRPr="00783457" w:rsidRDefault="00DF7661" w:rsidP="00DF7661">
            <w:pPr>
              <w:pStyle w:val="Default"/>
              <w:ind w:left="245" w:hanging="245"/>
              <w:rPr>
                <w:rFonts w:ascii="Calibri" w:hAnsi="Calibri" w:cs="Times New Roman"/>
                <w:b/>
                <w:sz w:val="20"/>
                <w:szCs w:val="22"/>
              </w:rPr>
            </w:pPr>
            <w:proofErr w:type="spellStart"/>
            <w:r>
              <w:rPr>
                <w:rFonts w:eastAsia="Times New Roman" w:cstheme="minorHAnsi"/>
                <w:bCs/>
                <w:sz w:val="20"/>
                <w:szCs w:val="20"/>
              </w:rPr>
              <w:t>Barrueco</w:t>
            </w:r>
            <w:proofErr w:type="spellEnd"/>
            <w:r>
              <w:rPr>
                <w:rFonts w:eastAsia="Times New Roman" w:cstheme="minorHAnsi"/>
                <w:bCs/>
                <w:sz w:val="20"/>
                <w:szCs w:val="20"/>
              </w:rPr>
              <w:t xml:space="preserve">, S., Smith, S., &amp; Stephens, S. A. (2015). </w:t>
            </w:r>
            <w:r w:rsidRPr="001C0EB0">
              <w:rPr>
                <w:rFonts w:eastAsia="Times New Roman" w:cstheme="minorHAnsi"/>
                <w:bCs/>
                <w:i/>
                <w:sz w:val="20"/>
                <w:szCs w:val="20"/>
              </w:rPr>
              <w:t>Supporting parent engagement in linguistically diverse families to promote young children’s learning: Implications for early care and education policy</w:t>
            </w:r>
            <w:r>
              <w:rPr>
                <w:rFonts w:eastAsia="Times New Roman" w:cstheme="minorHAnsi"/>
                <w:bCs/>
                <w:sz w:val="20"/>
                <w:szCs w:val="20"/>
              </w:rPr>
              <w:t xml:space="preserve">. </w:t>
            </w:r>
            <w:r w:rsidRPr="00DF7661">
              <w:rPr>
                <w:rFonts w:eastAsia="Times New Roman" w:cstheme="minorHAnsi"/>
                <w:bCs/>
                <w:sz w:val="20"/>
                <w:szCs w:val="20"/>
              </w:rPr>
              <w:t>New York, NY: Child Care &amp; Early Education Research Connections</w:t>
            </w:r>
            <w:r w:rsidRPr="001C0EB0">
              <w:rPr>
                <w:rFonts w:eastAsia="Times New Roman" w:cstheme="minorHAnsi"/>
                <w:bCs/>
                <w:sz w:val="20"/>
                <w:szCs w:val="20"/>
              </w:rPr>
              <w:t xml:space="preserve">. </w:t>
            </w:r>
            <w:hyperlink r:id="rId39" w:history="1">
              <w:r w:rsidRPr="001C0EB0">
                <w:rPr>
                  <w:rStyle w:val="Hyperlink"/>
                  <w:rFonts w:ascii="Calibri" w:hAnsi="Calibri" w:cs="Times New Roman"/>
                  <w:b/>
                  <w:sz w:val="20"/>
                  <w:szCs w:val="22"/>
                  <w:u w:val="none"/>
                </w:rPr>
                <w:t>http://www.researchconnections.org/childcare/resources/30185/pdf</w:t>
              </w:r>
            </w:hyperlink>
          </w:p>
          <w:p w14:paraId="1FE7A5F9" w14:textId="099133FA" w:rsidR="001C0EB0" w:rsidRPr="001C0EB0" w:rsidRDefault="001C0EB0" w:rsidP="003661DE">
            <w:pPr>
              <w:ind w:left="245" w:hanging="245"/>
              <w:rPr>
                <w:rFonts w:eastAsia="Times New Roman" w:cstheme="minorHAnsi"/>
                <w:b/>
                <w:bCs/>
                <w:sz w:val="20"/>
                <w:szCs w:val="20"/>
              </w:rPr>
            </w:pPr>
            <w:r>
              <w:rPr>
                <w:rFonts w:eastAsia="Times New Roman" w:cstheme="minorHAnsi"/>
                <w:bCs/>
                <w:sz w:val="20"/>
                <w:szCs w:val="20"/>
              </w:rPr>
              <w:t xml:space="preserve">DEC. (2010). </w:t>
            </w:r>
            <w:r w:rsidRPr="001C0EB0">
              <w:rPr>
                <w:rFonts w:eastAsia="Times New Roman" w:cstheme="minorHAnsi"/>
                <w:bCs/>
                <w:i/>
                <w:sz w:val="20"/>
                <w:szCs w:val="20"/>
              </w:rPr>
              <w:t>Responsiveness to ALL children, families, and professionals: Integrating cultural and linguistic diversity into policy and practice</w:t>
            </w:r>
            <w:r>
              <w:rPr>
                <w:rFonts w:eastAsia="Times New Roman" w:cstheme="minorHAnsi"/>
                <w:bCs/>
                <w:sz w:val="20"/>
                <w:szCs w:val="20"/>
              </w:rPr>
              <w:t xml:space="preserve">. Washington, DC: Author.  </w:t>
            </w:r>
            <w:hyperlink r:id="rId40" w:history="1">
              <w:r w:rsidRPr="001C0EB0">
                <w:rPr>
                  <w:rStyle w:val="Hyperlink"/>
                  <w:rFonts w:eastAsia="Times New Roman" w:cstheme="minorHAnsi"/>
                  <w:b/>
                  <w:bCs/>
                  <w:sz w:val="20"/>
                  <w:szCs w:val="20"/>
                  <w:u w:val="none"/>
                </w:rPr>
                <w:t>https://www.decdocs.org/position-statement-family-culture</w:t>
              </w:r>
            </w:hyperlink>
            <w:r w:rsidRPr="001C0EB0">
              <w:rPr>
                <w:rFonts w:eastAsia="Times New Roman" w:cstheme="minorHAnsi"/>
                <w:b/>
                <w:bCs/>
                <w:sz w:val="20"/>
                <w:szCs w:val="20"/>
              </w:rPr>
              <w:t xml:space="preserve"> </w:t>
            </w:r>
          </w:p>
          <w:p w14:paraId="56C54720" w14:textId="3B41CF6D" w:rsidR="00070AEF" w:rsidRPr="001C0EB0" w:rsidRDefault="003661DE" w:rsidP="001C0EB0">
            <w:pPr>
              <w:ind w:left="245" w:hanging="245"/>
              <w:rPr>
                <w:rFonts w:eastAsia="Times New Roman" w:cstheme="minorHAnsi"/>
                <w:b/>
                <w:bCs/>
                <w:color w:val="0563C1" w:themeColor="hyperlink"/>
                <w:sz w:val="20"/>
                <w:szCs w:val="20"/>
              </w:rPr>
            </w:pPr>
            <w:r w:rsidRPr="00DF7661">
              <w:rPr>
                <w:rFonts w:eastAsia="Times New Roman" w:cstheme="minorHAnsi"/>
                <w:bCs/>
                <w:sz w:val="20"/>
                <w:szCs w:val="20"/>
              </w:rPr>
              <w:t xml:space="preserve">Johnson-Staub, C. (2017). </w:t>
            </w:r>
            <w:r w:rsidRPr="00DF7661">
              <w:rPr>
                <w:rFonts w:eastAsia="Times New Roman" w:cstheme="minorHAnsi"/>
                <w:bCs/>
                <w:i/>
                <w:sz w:val="20"/>
                <w:szCs w:val="20"/>
              </w:rPr>
              <w:t>Equity starts early: Addressing racial inequities in child care and early education policy</w:t>
            </w:r>
            <w:r w:rsidRPr="00DF7661">
              <w:rPr>
                <w:rFonts w:eastAsia="Times New Roman" w:cstheme="minorHAnsi"/>
                <w:bCs/>
                <w:sz w:val="20"/>
                <w:szCs w:val="20"/>
              </w:rPr>
              <w:t xml:space="preserve">. Washington, DC: CLASP. </w:t>
            </w:r>
            <w:hyperlink r:id="rId41" w:history="1">
              <w:r w:rsidR="001C0EB0" w:rsidRPr="001C0EB0">
                <w:rPr>
                  <w:rStyle w:val="Hyperlink"/>
                  <w:rFonts w:eastAsia="Times New Roman" w:cstheme="minorHAnsi"/>
                  <w:b/>
                  <w:bCs/>
                  <w:sz w:val="20"/>
                  <w:szCs w:val="20"/>
                  <w:u w:val="none"/>
                </w:rPr>
                <w:t>https://www.clasp.org/sites/default/files/publications/2017/12/2017_EquityStartsEarly_0.pdf</w:t>
              </w:r>
            </w:hyperlink>
          </w:p>
        </w:tc>
      </w:tr>
      <w:tr w:rsidR="00B203DB" w:rsidRPr="00462C96" w14:paraId="58CDD284" w14:textId="77777777" w:rsidTr="00F67747">
        <w:tblPrEx>
          <w:jc w:val="left"/>
        </w:tblPrEx>
        <w:trPr>
          <w:gridAfter w:val="2"/>
          <w:wAfter w:w="100" w:type="dxa"/>
        </w:trPr>
        <w:tc>
          <w:tcPr>
            <w:tcW w:w="2965" w:type="dxa"/>
            <w:gridSpan w:val="4"/>
            <w:vAlign w:val="center"/>
          </w:tcPr>
          <w:p w14:paraId="4B1A9873" w14:textId="32E2D17E" w:rsidR="00B203DB" w:rsidRPr="0064406F" w:rsidRDefault="00B203DB" w:rsidP="00C05B2F">
            <w:pPr>
              <w:rPr>
                <w:rFonts w:ascii="Palatino Linotype" w:hAnsi="Palatino Linotype"/>
                <w:b/>
                <w:sz w:val="21"/>
                <w:szCs w:val="21"/>
              </w:rPr>
            </w:pPr>
            <w:r w:rsidRPr="0064406F">
              <w:rPr>
                <w:rFonts w:ascii="Palatino Linotype" w:hAnsi="Palatino Linotype"/>
                <w:b/>
                <w:sz w:val="21"/>
                <w:szCs w:val="21"/>
              </w:rPr>
              <w:t xml:space="preserve">For </w:t>
            </w:r>
            <w:proofErr w:type="gramStart"/>
            <w:r w:rsidRPr="0064406F">
              <w:rPr>
                <w:rFonts w:ascii="Palatino Linotype" w:hAnsi="Palatino Linotype"/>
                <w:b/>
                <w:sz w:val="21"/>
                <w:szCs w:val="21"/>
              </w:rPr>
              <w:t>each and every</w:t>
            </w:r>
            <w:proofErr w:type="gramEnd"/>
            <w:r w:rsidRPr="0064406F">
              <w:rPr>
                <w:rFonts w:ascii="Palatino Linotype" w:hAnsi="Palatino Linotype"/>
                <w:b/>
                <w:sz w:val="21"/>
                <w:szCs w:val="21"/>
              </w:rPr>
              <w:t xml:space="preserve"> child and their family, we will provide options, flexibility, and continuity within each community by working collaboratively within and across agencies, programs, and funding sources.</w:t>
            </w:r>
          </w:p>
        </w:tc>
        <w:tc>
          <w:tcPr>
            <w:tcW w:w="10350" w:type="dxa"/>
            <w:gridSpan w:val="6"/>
          </w:tcPr>
          <w:p w14:paraId="2489B747" w14:textId="77777777" w:rsidR="00B203DB" w:rsidRDefault="00C900DF" w:rsidP="00C900DF">
            <w:pPr>
              <w:rPr>
                <w:b/>
              </w:rPr>
            </w:pPr>
            <w:r w:rsidRPr="00C900DF">
              <w:rPr>
                <w:b/>
              </w:rPr>
              <w:t xml:space="preserve">Coordination and collaboration across early care and education sectors </w:t>
            </w:r>
            <w:r w:rsidR="000F6E73">
              <w:rPr>
                <w:b/>
              </w:rPr>
              <w:t>are</w:t>
            </w:r>
            <w:r w:rsidRPr="00C900DF">
              <w:rPr>
                <w:b/>
              </w:rPr>
              <w:t xml:space="preserve"> essential to provide consistent, high-quality services to meet the needs of families with young children.</w:t>
            </w:r>
          </w:p>
          <w:p w14:paraId="739594D7" w14:textId="77777777" w:rsidR="000F6E73" w:rsidRDefault="000F6E73" w:rsidP="000F6E73">
            <w:pPr>
              <w:ind w:left="245" w:hanging="245"/>
              <w:rPr>
                <w:sz w:val="20"/>
              </w:rPr>
            </w:pPr>
            <w:proofErr w:type="spellStart"/>
            <w:r w:rsidRPr="000F6E73">
              <w:rPr>
                <w:sz w:val="20"/>
              </w:rPr>
              <w:t>Chien</w:t>
            </w:r>
            <w:proofErr w:type="spellEnd"/>
            <w:r w:rsidRPr="000F6E73">
              <w:rPr>
                <w:sz w:val="20"/>
              </w:rPr>
              <w:t xml:space="preserve">, N., Blasberg, A., </w:t>
            </w:r>
            <w:proofErr w:type="spellStart"/>
            <w:r w:rsidRPr="000F6E73">
              <w:rPr>
                <w:sz w:val="20"/>
              </w:rPr>
              <w:t>Daneri</w:t>
            </w:r>
            <w:proofErr w:type="spellEnd"/>
            <w:r w:rsidRPr="000F6E73">
              <w:rPr>
                <w:sz w:val="20"/>
              </w:rPr>
              <w:t xml:space="preserve">, P., Halle, T., King, C., </w:t>
            </w:r>
            <w:proofErr w:type="spellStart"/>
            <w:r w:rsidRPr="000F6E73">
              <w:rPr>
                <w:sz w:val="20"/>
              </w:rPr>
              <w:t>Zaslow</w:t>
            </w:r>
            <w:proofErr w:type="spellEnd"/>
            <w:r w:rsidRPr="000F6E73">
              <w:rPr>
                <w:sz w:val="20"/>
              </w:rPr>
              <w:t xml:space="preserve">, M., Fisher, K., &amp; Dwyer, K. (2013). </w:t>
            </w:r>
            <w:r w:rsidRPr="000F6E73">
              <w:rPr>
                <w:i/>
                <w:sz w:val="20"/>
              </w:rPr>
              <w:t>Conceptualizing and measuring collaboration in the context of early childhood care and education</w:t>
            </w:r>
            <w:r w:rsidRPr="000F6E73">
              <w:rPr>
                <w:sz w:val="20"/>
              </w:rPr>
              <w:t xml:space="preserve"> (OPRE Research Brief OPRE 2013-29). Washington, DC: Office of Planning, Research and Evaluation, Administration for Children and Families, U.S. Department of Health and Human Services.</w:t>
            </w:r>
            <w:r>
              <w:rPr>
                <w:sz w:val="20"/>
              </w:rPr>
              <w:t xml:space="preserve"> </w:t>
            </w:r>
            <w:hyperlink r:id="rId42" w:history="1">
              <w:r w:rsidRPr="000F6E73">
                <w:rPr>
                  <w:rStyle w:val="Hyperlink"/>
                  <w:b/>
                  <w:sz w:val="20"/>
                  <w:u w:val="none"/>
                </w:rPr>
                <w:t>https://www.acf.hhs.gov/sites/default/files/opre/collaborations_brief.pdf</w:t>
              </w:r>
            </w:hyperlink>
            <w:r>
              <w:rPr>
                <w:sz w:val="20"/>
              </w:rPr>
              <w:t xml:space="preserve"> </w:t>
            </w:r>
          </w:p>
          <w:p w14:paraId="565740E1" w14:textId="40685D56" w:rsidR="0064406F" w:rsidRPr="000F6E73" w:rsidRDefault="0064406F" w:rsidP="000F6E73">
            <w:pPr>
              <w:ind w:left="245" w:hanging="245"/>
            </w:pPr>
            <w:r w:rsidRPr="0064406F">
              <w:rPr>
                <w:sz w:val="20"/>
              </w:rPr>
              <w:t xml:space="preserve">Tseng, S-H. (2004). </w:t>
            </w:r>
            <w:r w:rsidRPr="0064406F">
              <w:rPr>
                <w:i/>
                <w:sz w:val="20"/>
              </w:rPr>
              <w:t>Interagency collaboration in early intervention</w:t>
            </w:r>
            <w:r w:rsidRPr="0064406F">
              <w:rPr>
                <w:sz w:val="20"/>
              </w:rPr>
              <w:t xml:space="preserve">. Unpublished doctoral dissertation. </w:t>
            </w:r>
            <w:hyperlink r:id="rId43" w:history="1">
              <w:r w:rsidRPr="0064406F">
                <w:rPr>
                  <w:rStyle w:val="Hyperlink"/>
                  <w:b/>
                  <w:sz w:val="20"/>
                  <w:u w:val="none"/>
                </w:rPr>
                <w:t>https://drum.lib.umd.edu/bitstream/handle/1903/1495/umi-umd-1452.pdf;jsessionid=B1B1F4740ADAD5ECA8E257E100441E8A?sequence=1</w:t>
              </w:r>
            </w:hyperlink>
            <w:r w:rsidRPr="0064406F">
              <w:t xml:space="preserve"> </w:t>
            </w:r>
          </w:p>
        </w:tc>
      </w:tr>
      <w:tr w:rsidR="00F5257C" w:rsidRPr="00462C96" w14:paraId="0F36F4F1" w14:textId="77777777" w:rsidTr="00F67747">
        <w:trPr>
          <w:jc w:val="center"/>
        </w:trPr>
        <w:tc>
          <w:tcPr>
            <w:tcW w:w="3425" w:type="dxa"/>
            <w:gridSpan w:val="6"/>
            <w:shd w:val="clear" w:color="auto" w:fill="D9E2F3" w:themeFill="accent1" w:themeFillTint="33"/>
            <w:vAlign w:val="center"/>
          </w:tcPr>
          <w:p w14:paraId="4791A449" w14:textId="2937B258" w:rsidR="00F5257C" w:rsidRPr="00462C96" w:rsidRDefault="00F5257C" w:rsidP="00B5775D">
            <w:pPr>
              <w:jc w:val="center"/>
              <w:rPr>
                <w:b/>
              </w:rPr>
            </w:pPr>
            <w:r>
              <w:lastRenderedPageBreak/>
              <w:br w:type="column"/>
            </w:r>
            <w:r>
              <w:br w:type="column"/>
            </w:r>
            <w:r w:rsidR="001C0EB0" w:rsidRPr="001C0EB0">
              <w:rPr>
                <w:b/>
              </w:rPr>
              <w:t>Vermont Guiding</w:t>
            </w:r>
            <w:r w:rsidR="001C0EB0">
              <w:t xml:space="preserve"> </w:t>
            </w:r>
            <w:r w:rsidRPr="00462C96">
              <w:rPr>
                <w:b/>
              </w:rPr>
              <w:t>Principle</w:t>
            </w:r>
          </w:p>
        </w:tc>
        <w:tc>
          <w:tcPr>
            <w:tcW w:w="9990" w:type="dxa"/>
            <w:gridSpan w:val="6"/>
            <w:shd w:val="clear" w:color="auto" w:fill="D9E2F3" w:themeFill="accent1" w:themeFillTint="33"/>
            <w:vAlign w:val="center"/>
          </w:tcPr>
          <w:p w14:paraId="39586567" w14:textId="77777777" w:rsidR="00F5257C" w:rsidRPr="00462C96" w:rsidRDefault="00F5257C" w:rsidP="00B5775D">
            <w:pPr>
              <w:jc w:val="center"/>
              <w:rPr>
                <w:b/>
              </w:rPr>
            </w:pPr>
            <w:r>
              <w:rPr>
                <w:b/>
              </w:rPr>
              <w:t xml:space="preserve">Research and </w:t>
            </w:r>
            <w:r w:rsidRPr="00462C96">
              <w:rPr>
                <w:b/>
              </w:rPr>
              <w:t>Evidence Sources</w:t>
            </w:r>
          </w:p>
        </w:tc>
      </w:tr>
      <w:tr w:rsidR="00B203DB" w:rsidRPr="00462C96" w14:paraId="65A01882" w14:textId="77777777" w:rsidTr="00F67747">
        <w:trPr>
          <w:jc w:val="center"/>
        </w:trPr>
        <w:tc>
          <w:tcPr>
            <w:tcW w:w="3425" w:type="dxa"/>
            <w:gridSpan w:val="6"/>
            <w:vAlign w:val="center"/>
          </w:tcPr>
          <w:p w14:paraId="208C5921" w14:textId="75148E6A" w:rsidR="00B203DB" w:rsidRPr="00541C98" w:rsidRDefault="00B203DB" w:rsidP="00CF4932">
            <w:pPr>
              <w:rPr>
                <w:rFonts w:ascii="Palatino Linotype" w:hAnsi="Palatino Linotype"/>
                <w:b/>
                <w:sz w:val="21"/>
                <w:szCs w:val="21"/>
              </w:rPr>
            </w:pPr>
            <w:r w:rsidRPr="00541C98">
              <w:rPr>
                <w:rFonts w:ascii="Palatino Linotype" w:hAnsi="Palatino Linotype"/>
                <w:b/>
                <w:sz w:val="21"/>
                <w:szCs w:val="21"/>
              </w:rPr>
              <w:t xml:space="preserve">For </w:t>
            </w:r>
            <w:proofErr w:type="gramStart"/>
            <w:r w:rsidRPr="00541C98">
              <w:rPr>
                <w:rFonts w:ascii="Palatino Linotype" w:hAnsi="Palatino Linotype"/>
                <w:b/>
                <w:sz w:val="21"/>
                <w:szCs w:val="21"/>
              </w:rPr>
              <w:t>each and every</w:t>
            </w:r>
            <w:proofErr w:type="gramEnd"/>
            <w:r w:rsidRPr="00541C98">
              <w:rPr>
                <w:rFonts w:ascii="Palatino Linotype" w:hAnsi="Palatino Linotype"/>
                <w:b/>
                <w:sz w:val="21"/>
                <w:szCs w:val="21"/>
              </w:rPr>
              <w:t xml:space="preserve"> child and their family, we will expand the number of early childhood professionals who are well prepared, reflect the diversity of the community, and are appropriately compensated.</w:t>
            </w:r>
          </w:p>
        </w:tc>
        <w:tc>
          <w:tcPr>
            <w:tcW w:w="9990" w:type="dxa"/>
            <w:gridSpan w:val="6"/>
          </w:tcPr>
          <w:p w14:paraId="503E0271" w14:textId="6B5DB6EB" w:rsidR="00B203DB" w:rsidRDefault="00127630" w:rsidP="0025492B">
            <w:pPr>
              <w:rPr>
                <w:b/>
              </w:rPr>
            </w:pPr>
            <w:r w:rsidRPr="00127630">
              <w:rPr>
                <w:b/>
              </w:rPr>
              <w:t>Teachers’ qualifications (based on measures of knowledge, education, and experience) account for a larger share of the variance in students’ achievement than any other single factor</w:t>
            </w:r>
            <w:r w:rsidR="00C900DF">
              <w:rPr>
                <w:b/>
              </w:rPr>
              <w:t>.</w:t>
            </w:r>
          </w:p>
          <w:p w14:paraId="22B849E6" w14:textId="41916527" w:rsidR="002270E4" w:rsidRPr="00282A43" w:rsidRDefault="002270E4" w:rsidP="00282A43">
            <w:pPr>
              <w:ind w:left="245" w:hanging="245"/>
              <w:rPr>
                <w:rFonts w:cstheme="minorHAnsi"/>
                <w:color w:val="000000"/>
                <w:sz w:val="20"/>
                <w:szCs w:val="20"/>
              </w:rPr>
            </w:pPr>
            <w:r w:rsidRPr="00541C98">
              <w:rPr>
                <w:rFonts w:cstheme="minorHAnsi"/>
                <w:color w:val="000000"/>
                <w:sz w:val="20"/>
                <w:szCs w:val="20"/>
              </w:rPr>
              <w:t>Darling-Hammond</w:t>
            </w:r>
            <w:r w:rsidR="0001009C" w:rsidRPr="00541C98">
              <w:rPr>
                <w:rFonts w:cstheme="minorHAnsi"/>
                <w:color w:val="000000"/>
                <w:sz w:val="20"/>
                <w:szCs w:val="20"/>
              </w:rPr>
              <w:t>, L.</w:t>
            </w:r>
            <w:r w:rsidRPr="00541C98">
              <w:rPr>
                <w:rFonts w:cstheme="minorHAnsi"/>
                <w:color w:val="000000"/>
                <w:sz w:val="20"/>
                <w:szCs w:val="20"/>
              </w:rPr>
              <w:t xml:space="preserve"> (</w:t>
            </w:r>
            <w:r w:rsidR="00630D6D" w:rsidRPr="00541C98">
              <w:rPr>
                <w:rFonts w:cstheme="minorHAnsi"/>
                <w:color w:val="000000"/>
                <w:sz w:val="20"/>
                <w:szCs w:val="20"/>
              </w:rPr>
              <w:t>2000</w:t>
            </w:r>
            <w:r w:rsidRPr="00541C98">
              <w:rPr>
                <w:rFonts w:cstheme="minorHAnsi"/>
                <w:color w:val="000000"/>
                <w:sz w:val="20"/>
                <w:szCs w:val="20"/>
              </w:rPr>
              <w:t xml:space="preserve">). </w:t>
            </w:r>
            <w:r w:rsidR="00623320" w:rsidRPr="00623320">
              <w:rPr>
                <w:rFonts w:cstheme="minorHAnsi"/>
                <w:color w:val="000000"/>
                <w:sz w:val="20"/>
                <w:szCs w:val="20"/>
              </w:rPr>
              <w:t xml:space="preserve">Teacher </w:t>
            </w:r>
            <w:r w:rsidR="00623320">
              <w:rPr>
                <w:rFonts w:cstheme="minorHAnsi"/>
                <w:color w:val="000000"/>
                <w:sz w:val="20"/>
                <w:szCs w:val="20"/>
              </w:rPr>
              <w:t>q</w:t>
            </w:r>
            <w:r w:rsidR="00623320" w:rsidRPr="00623320">
              <w:rPr>
                <w:rFonts w:cstheme="minorHAnsi"/>
                <w:color w:val="000000"/>
                <w:sz w:val="20"/>
                <w:szCs w:val="20"/>
              </w:rPr>
              <w:t xml:space="preserve">uality and </w:t>
            </w:r>
            <w:r w:rsidR="00623320">
              <w:rPr>
                <w:rFonts w:cstheme="minorHAnsi"/>
                <w:color w:val="000000"/>
                <w:sz w:val="20"/>
                <w:szCs w:val="20"/>
              </w:rPr>
              <w:t>s</w:t>
            </w:r>
            <w:r w:rsidR="00623320" w:rsidRPr="00623320">
              <w:rPr>
                <w:rFonts w:cstheme="minorHAnsi"/>
                <w:color w:val="000000"/>
                <w:sz w:val="20"/>
                <w:szCs w:val="20"/>
              </w:rPr>
              <w:t xml:space="preserve">tudent </w:t>
            </w:r>
            <w:r w:rsidR="00623320">
              <w:rPr>
                <w:rFonts w:cstheme="minorHAnsi"/>
                <w:color w:val="000000"/>
                <w:sz w:val="20"/>
                <w:szCs w:val="20"/>
              </w:rPr>
              <w:t>a</w:t>
            </w:r>
            <w:r w:rsidR="00623320" w:rsidRPr="00623320">
              <w:rPr>
                <w:rFonts w:cstheme="minorHAnsi"/>
                <w:color w:val="000000"/>
                <w:sz w:val="20"/>
                <w:szCs w:val="20"/>
              </w:rPr>
              <w:t xml:space="preserve">chievement: A </w:t>
            </w:r>
            <w:r w:rsidR="00623320">
              <w:rPr>
                <w:rFonts w:cstheme="minorHAnsi"/>
                <w:color w:val="000000"/>
                <w:sz w:val="20"/>
                <w:szCs w:val="20"/>
              </w:rPr>
              <w:t>r</w:t>
            </w:r>
            <w:r w:rsidR="00623320" w:rsidRPr="00623320">
              <w:rPr>
                <w:rFonts w:cstheme="minorHAnsi"/>
                <w:color w:val="000000"/>
                <w:sz w:val="20"/>
                <w:szCs w:val="20"/>
              </w:rPr>
              <w:t xml:space="preserve">eview of </w:t>
            </w:r>
            <w:r w:rsidR="00623320">
              <w:rPr>
                <w:rFonts w:cstheme="minorHAnsi"/>
                <w:color w:val="000000"/>
                <w:sz w:val="20"/>
                <w:szCs w:val="20"/>
              </w:rPr>
              <w:t>s</w:t>
            </w:r>
            <w:r w:rsidR="00623320" w:rsidRPr="00623320">
              <w:rPr>
                <w:rFonts w:cstheme="minorHAnsi"/>
                <w:color w:val="000000"/>
                <w:sz w:val="20"/>
                <w:szCs w:val="20"/>
              </w:rPr>
              <w:t xml:space="preserve">tate </w:t>
            </w:r>
            <w:r w:rsidR="00623320">
              <w:rPr>
                <w:rFonts w:cstheme="minorHAnsi"/>
                <w:color w:val="000000"/>
                <w:sz w:val="20"/>
                <w:szCs w:val="20"/>
              </w:rPr>
              <w:t>p</w:t>
            </w:r>
            <w:r w:rsidR="00623320" w:rsidRPr="00623320">
              <w:rPr>
                <w:rFonts w:cstheme="minorHAnsi"/>
                <w:color w:val="000000"/>
                <w:sz w:val="20"/>
                <w:szCs w:val="20"/>
              </w:rPr>
              <w:t xml:space="preserve">olicy </w:t>
            </w:r>
            <w:r w:rsidR="00623320">
              <w:rPr>
                <w:rFonts w:cstheme="minorHAnsi"/>
                <w:color w:val="000000"/>
                <w:sz w:val="20"/>
                <w:szCs w:val="20"/>
              </w:rPr>
              <w:t>e</w:t>
            </w:r>
            <w:r w:rsidR="00623320" w:rsidRPr="00623320">
              <w:rPr>
                <w:rFonts w:cstheme="minorHAnsi"/>
                <w:color w:val="000000"/>
                <w:sz w:val="20"/>
                <w:szCs w:val="20"/>
              </w:rPr>
              <w:t>vidence</w:t>
            </w:r>
            <w:r w:rsidR="00630D6D">
              <w:t xml:space="preserve">. </w:t>
            </w:r>
            <w:r w:rsidR="00630D6D" w:rsidRPr="00541C98">
              <w:rPr>
                <w:i/>
                <w:sz w:val="20"/>
                <w:szCs w:val="20"/>
              </w:rPr>
              <w:t xml:space="preserve">Education Policy Analysis Archives, </w:t>
            </w:r>
            <w:r w:rsidR="00541C98" w:rsidRPr="00541C98">
              <w:rPr>
                <w:i/>
                <w:sz w:val="20"/>
                <w:szCs w:val="20"/>
              </w:rPr>
              <w:t>8</w:t>
            </w:r>
            <w:r w:rsidR="00541C98">
              <w:rPr>
                <w:sz w:val="20"/>
                <w:szCs w:val="20"/>
              </w:rPr>
              <w:t xml:space="preserve">(1). </w:t>
            </w:r>
            <w:hyperlink r:id="rId44" w:history="1">
              <w:r w:rsidR="00541C98" w:rsidRPr="00541C98">
                <w:rPr>
                  <w:rStyle w:val="Hyperlink"/>
                  <w:rFonts w:cstheme="minorHAnsi"/>
                  <w:b/>
                  <w:sz w:val="20"/>
                  <w:szCs w:val="20"/>
                  <w:u w:val="none"/>
                </w:rPr>
                <w:t>https://epaa.asu.edu/ojs/article/viewFile/392/515</w:t>
              </w:r>
            </w:hyperlink>
            <w:r w:rsidR="00E062FE" w:rsidRPr="00541C98">
              <w:rPr>
                <w:rFonts w:cstheme="minorHAnsi"/>
                <w:b/>
                <w:color w:val="000000"/>
                <w:sz w:val="20"/>
                <w:szCs w:val="20"/>
              </w:rPr>
              <w:t xml:space="preserve"> </w:t>
            </w:r>
          </w:p>
          <w:p w14:paraId="7DEAC6A5" w14:textId="77777777" w:rsidR="0001009C" w:rsidRDefault="0001009C" w:rsidP="00282A43">
            <w:pPr>
              <w:ind w:left="245" w:hanging="245"/>
              <w:rPr>
                <w:sz w:val="20"/>
              </w:rPr>
            </w:pPr>
            <w:proofErr w:type="spellStart"/>
            <w:r w:rsidRPr="00282A43">
              <w:rPr>
                <w:rFonts w:cstheme="minorHAnsi"/>
                <w:sz w:val="20"/>
                <w:szCs w:val="20"/>
              </w:rPr>
              <w:t>Goe</w:t>
            </w:r>
            <w:proofErr w:type="spellEnd"/>
            <w:r w:rsidRPr="00282A43">
              <w:rPr>
                <w:rFonts w:cstheme="minorHAnsi"/>
                <w:sz w:val="20"/>
                <w:szCs w:val="20"/>
              </w:rPr>
              <w:t xml:space="preserve">, </w:t>
            </w:r>
            <w:r w:rsidR="00772FC4" w:rsidRPr="00282A43">
              <w:rPr>
                <w:rFonts w:cstheme="minorHAnsi"/>
                <w:sz w:val="20"/>
                <w:szCs w:val="20"/>
              </w:rPr>
              <w:t xml:space="preserve">L., &amp; Stickler, L. M. (2008). </w:t>
            </w:r>
            <w:r w:rsidR="00772FC4" w:rsidRPr="00B62A85">
              <w:rPr>
                <w:rFonts w:cstheme="minorHAnsi"/>
                <w:i/>
                <w:sz w:val="20"/>
                <w:szCs w:val="20"/>
              </w:rPr>
              <w:t>Teacher quality</w:t>
            </w:r>
            <w:r w:rsidR="00561DE6" w:rsidRPr="00B62A85">
              <w:rPr>
                <w:rFonts w:cstheme="minorHAnsi"/>
                <w:i/>
                <w:sz w:val="20"/>
                <w:szCs w:val="20"/>
              </w:rPr>
              <w:t xml:space="preserve"> and student achievement: Making the most </w:t>
            </w:r>
            <w:r w:rsidR="00C21B0E" w:rsidRPr="00B62A85">
              <w:rPr>
                <w:rFonts w:cstheme="minorHAnsi"/>
                <w:i/>
                <w:sz w:val="20"/>
                <w:szCs w:val="20"/>
              </w:rPr>
              <w:t>of recent research</w:t>
            </w:r>
            <w:r w:rsidR="00C21B0E" w:rsidRPr="00282A43">
              <w:rPr>
                <w:rFonts w:cstheme="minorHAnsi"/>
                <w:sz w:val="20"/>
                <w:szCs w:val="20"/>
              </w:rPr>
              <w:t xml:space="preserve">. </w:t>
            </w:r>
            <w:r w:rsidR="00EF5452" w:rsidRPr="00282A43">
              <w:rPr>
                <w:rFonts w:cstheme="minorHAnsi"/>
                <w:sz w:val="20"/>
                <w:szCs w:val="20"/>
              </w:rPr>
              <w:t>Washington, DC: National Comprehensive Center for Teacher Quality.</w:t>
            </w:r>
            <w:r w:rsidR="00EF5452">
              <w:t xml:space="preserve"> </w:t>
            </w:r>
            <w:hyperlink r:id="rId45" w:history="1">
              <w:r w:rsidR="00B62A85" w:rsidRPr="00B62A85">
                <w:rPr>
                  <w:rStyle w:val="Hyperlink"/>
                  <w:b/>
                  <w:sz w:val="20"/>
                  <w:u w:val="none"/>
                </w:rPr>
                <w:t>https://files.eric.ed.gov/fulltext/ED520769.pdf</w:t>
              </w:r>
            </w:hyperlink>
            <w:r w:rsidR="00B62A85" w:rsidRPr="00B62A85">
              <w:rPr>
                <w:sz w:val="20"/>
              </w:rPr>
              <w:t xml:space="preserve"> </w:t>
            </w:r>
          </w:p>
          <w:p w14:paraId="6B51BDF0" w14:textId="77777777" w:rsidR="00070AEF" w:rsidRPr="00070AEF" w:rsidRDefault="00070AEF" w:rsidP="00070AEF">
            <w:pPr>
              <w:rPr>
                <w:rFonts w:cstheme="minorHAnsi"/>
                <w:color w:val="000000"/>
                <w:sz w:val="8"/>
                <w:szCs w:val="20"/>
              </w:rPr>
            </w:pPr>
          </w:p>
          <w:p w14:paraId="5C82CDE3" w14:textId="05F90989" w:rsidR="00070AEF" w:rsidRPr="00070AEF" w:rsidRDefault="00070AEF" w:rsidP="00070AEF">
            <w:pPr>
              <w:rPr>
                <w:b/>
              </w:rPr>
            </w:pPr>
            <w:r w:rsidRPr="00070AEF">
              <w:rPr>
                <w:b/>
              </w:rPr>
              <w:t>Low compensation undermines quality.</w:t>
            </w:r>
          </w:p>
          <w:p w14:paraId="43441A89" w14:textId="0009E475" w:rsidR="00070AEF" w:rsidRPr="00892085" w:rsidRDefault="00070AEF" w:rsidP="00892085">
            <w:pPr>
              <w:ind w:left="245" w:hanging="245"/>
              <w:rPr>
                <w:rFonts w:cstheme="minorHAnsi"/>
                <w:color w:val="000000"/>
                <w:sz w:val="19"/>
                <w:szCs w:val="19"/>
              </w:rPr>
            </w:pPr>
            <w:r w:rsidRPr="00070AEF">
              <w:rPr>
                <w:rFonts w:eastAsia="Times New Roman" w:cstheme="minorHAnsi"/>
                <w:sz w:val="20"/>
                <w:szCs w:val="20"/>
              </w:rPr>
              <w:t>U.S. Department of Health and Human Services</w:t>
            </w:r>
            <w:r>
              <w:rPr>
                <w:rFonts w:eastAsia="Times New Roman" w:cstheme="minorHAnsi"/>
                <w:sz w:val="20"/>
                <w:szCs w:val="20"/>
              </w:rPr>
              <w:t xml:space="preserve">, &amp; </w:t>
            </w:r>
            <w:r w:rsidRPr="00070AEF">
              <w:rPr>
                <w:rFonts w:eastAsia="Times New Roman" w:cstheme="minorHAnsi"/>
                <w:sz w:val="20"/>
                <w:szCs w:val="20"/>
              </w:rPr>
              <w:t>U.S. Department of Education</w:t>
            </w:r>
            <w:r>
              <w:rPr>
                <w:rFonts w:eastAsia="Times New Roman" w:cstheme="minorHAnsi"/>
                <w:sz w:val="20"/>
                <w:szCs w:val="20"/>
              </w:rPr>
              <w:t xml:space="preserve">. </w:t>
            </w:r>
            <w:r>
              <w:rPr>
                <w:rFonts w:cstheme="minorHAnsi"/>
                <w:color w:val="000000"/>
                <w:sz w:val="20"/>
                <w:szCs w:val="20"/>
              </w:rPr>
              <w:t xml:space="preserve"> (2016). </w:t>
            </w:r>
            <w:r w:rsidRPr="00070AEF">
              <w:rPr>
                <w:rFonts w:cstheme="minorHAnsi"/>
                <w:i/>
                <w:color w:val="000000"/>
                <w:sz w:val="20"/>
                <w:szCs w:val="20"/>
              </w:rPr>
              <w:t>High-quality early learning settings depend on a high-quality workforce: Low compensation undermines quality</w:t>
            </w:r>
            <w:r>
              <w:rPr>
                <w:rFonts w:cstheme="minorHAnsi"/>
                <w:color w:val="000000"/>
                <w:sz w:val="20"/>
                <w:szCs w:val="20"/>
              </w:rPr>
              <w:t>. Washington, DC: Authors.</w:t>
            </w:r>
            <w:r w:rsidR="00892085">
              <w:rPr>
                <w:rFonts w:cstheme="minorHAnsi"/>
                <w:color w:val="000000"/>
                <w:sz w:val="20"/>
                <w:szCs w:val="20"/>
              </w:rPr>
              <w:t xml:space="preserve"> </w:t>
            </w:r>
            <w:hyperlink r:id="rId46" w:history="1">
              <w:r w:rsidRPr="00892085">
                <w:rPr>
                  <w:rStyle w:val="Hyperlink"/>
                  <w:rFonts w:cstheme="minorHAnsi"/>
                  <w:b/>
                  <w:sz w:val="19"/>
                  <w:szCs w:val="19"/>
                  <w:u w:val="none"/>
                </w:rPr>
                <w:t>https://www2.ed.gov/about/inits/ed/earlylearning/files/ece-low-compensation-undermines-quality-report-2016.pdf</w:t>
              </w:r>
            </w:hyperlink>
            <w:r w:rsidRPr="00892085">
              <w:rPr>
                <w:rFonts w:cstheme="minorHAnsi"/>
                <w:color w:val="000000"/>
                <w:sz w:val="19"/>
                <w:szCs w:val="19"/>
              </w:rPr>
              <w:t xml:space="preserve"> </w:t>
            </w:r>
          </w:p>
        </w:tc>
      </w:tr>
      <w:tr w:rsidR="00C05B2F" w:rsidRPr="00462C96" w14:paraId="664BCD3E" w14:textId="77777777" w:rsidTr="00F67747">
        <w:trPr>
          <w:gridAfter w:val="1"/>
          <w:wAfter w:w="10" w:type="dxa"/>
          <w:jc w:val="center"/>
        </w:trPr>
        <w:tc>
          <w:tcPr>
            <w:tcW w:w="3415" w:type="dxa"/>
            <w:gridSpan w:val="5"/>
            <w:vAlign w:val="center"/>
          </w:tcPr>
          <w:p w14:paraId="066FD161" w14:textId="77777777" w:rsidR="00C05B2F" w:rsidRPr="00D71F7C" w:rsidRDefault="00C05B2F" w:rsidP="0064406F">
            <w:pPr>
              <w:rPr>
                <w:rFonts w:ascii="Palatino Linotype" w:hAnsi="Palatino Linotype"/>
                <w:b/>
                <w:sz w:val="21"/>
                <w:szCs w:val="21"/>
              </w:rPr>
            </w:pPr>
            <w:r w:rsidRPr="00D71F7C">
              <w:rPr>
                <w:rFonts w:ascii="Palatino Linotype" w:hAnsi="Palatino Linotype"/>
                <w:b/>
                <w:sz w:val="21"/>
                <w:szCs w:val="21"/>
              </w:rPr>
              <w:t xml:space="preserve">For </w:t>
            </w:r>
            <w:proofErr w:type="gramStart"/>
            <w:r w:rsidRPr="00D71F7C">
              <w:rPr>
                <w:rFonts w:ascii="Palatino Linotype" w:hAnsi="Palatino Linotype"/>
                <w:b/>
                <w:sz w:val="21"/>
                <w:szCs w:val="21"/>
              </w:rPr>
              <w:t>each and every</w:t>
            </w:r>
            <w:proofErr w:type="gramEnd"/>
            <w:r w:rsidRPr="00D71F7C">
              <w:rPr>
                <w:rFonts w:ascii="Palatino Linotype" w:hAnsi="Palatino Linotype"/>
                <w:b/>
                <w:sz w:val="21"/>
                <w:szCs w:val="21"/>
              </w:rPr>
              <w:t xml:space="preserve"> child and their family, we will draw upon evidence and research for practices that are responsive and appropriate to the child’s culture(s), language(s), abilities, developmental level, identities, and needs.</w:t>
            </w:r>
          </w:p>
          <w:p w14:paraId="0224380D" w14:textId="77777777" w:rsidR="00C05B2F" w:rsidRDefault="00C05B2F" w:rsidP="0086774F">
            <w:pPr>
              <w:jc w:val="center"/>
              <w:rPr>
                <w:rFonts w:ascii="Palatino Linotype" w:hAnsi="Palatino Linotype"/>
                <w:b/>
                <w:sz w:val="21"/>
                <w:szCs w:val="21"/>
              </w:rPr>
            </w:pPr>
          </w:p>
          <w:p w14:paraId="0AC02140" w14:textId="7B40D09A" w:rsidR="009735FA" w:rsidRPr="00D71F7C" w:rsidRDefault="009735FA" w:rsidP="0086774F">
            <w:pPr>
              <w:jc w:val="center"/>
              <w:rPr>
                <w:rFonts w:ascii="Palatino Linotype" w:hAnsi="Palatino Linotype"/>
                <w:b/>
                <w:sz w:val="21"/>
                <w:szCs w:val="21"/>
              </w:rPr>
            </w:pPr>
          </w:p>
        </w:tc>
        <w:tc>
          <w:tcPr>
            <w:tcW w:w="9990" w:type="dxa"/>
            <w:gridSpan w:val="6"/>
            <w:vAlign w:val="center"/>
          </w:tcPr>
          <w:p w14:paraId="07C851C5" w14:textId="012259EB" w:rsidR="00C05B2F" w:rsidRDefault="00C05B2F" w:rsidP="0086774F">
            <w:pPr>
              <w:rPr>
                <w:b/>
              </w:rPr>
            </w:pPr>
            <w:r w:rsidRPr="00462C96">
              <w:rPr>
                <w:b/>
              </w:rPr>
              <w:t>Culturally-responsive practices yield measurable benefits for young learners</w:t>
            </w:r>
            <w:r w:rsidR="0064406F">
              <w:rPr>
                <w:b/>
              </w:rPr>
              <w:t>.</w:t>
            </w:r>
          </w:p>
          <w:p w14:paraId="055FED68" w14:textId="77777777" w:rsidR="00C05B2F" w:rsidRDefault="00C05B2F" w:rsidP="0086774F">
            <w:pPr>
              <w:kinsoku w:val="0"/>
              <w:overflowPunct w:val="0"/>
              <w:ind w:left="187" w:hanging="187"/>
              <w:textAlignment w:val="baseline"/>
              <w:rPr>
                <w:rFonts w:eastAsia="+mn-ea" w:cs="+mn-cs"/>
                <w:color w:val="000000"/>
                <w:sz w:val="20"/>
                <w:szCs w:val="20"/>
              </w:rPr>
            </w:pPr>
            <w:proofErr w:type="gramStart"/>
            <w:r w:rsidRPr="00462C96">
              <w:rPr>
                <w:rFonts w:eastAsia="+mn-ea" w:cs="+mn-cs"/>
                <w:color w:val="000000"/>
                <w:sz w:val="20"/>
                <w:szCs w:val="20"/>
              </w:rPr>
              <w:t>Ford ,</w:t>
            </w:r>
            <w:proofErr w:type="gramEnd"/>
            <w:r w:rsidRPr="00462C96">
              <w:rPr>
                <w:rFonts w:eastAsia="+mn-ea" w:cs="+mn-cs"/>
                <w:color w:val="000000"/>
                <w:sz w:val="20"/>
                <w:szCs w:val="20"/>
              </w:rPr>
              <w:t xml:space="preserve"> D.Y., &amp; C.D. Kea. 2009. Creating culturally responsive instruction: For students’ and teachers’ sakes.” </w:t>
            </w:r>
            <w:r w:rsidRPr="00462C96">
              <w:rPr>
                <w:rFonts w:eastAsia="+mn-ea" w:cs="+mn-cs"/>
                <w:i/>
                <w:color w:val="000000"/>
                <w:sz w:val="20"/>
                <w:szCs w:val="20"/>
              </w:rPr>
              <w:t>Focus on Exceptional Children, 41</w:t>
            </w:r>
            <w:r w:rsidRPr="00462C96">
              <w:rPr>
                <w:rFonts w:eastAsia="+mn-ea" w:cs="+mn-cs"/>
                <w:color w:val="000000"/>
                <w:sz w:val="20"/>
                <w:szCs w:val="20"/>
              </w:rPr>
              <w:t>(9), 1–16.</w:t>
            </w:r>
          </w:p>
          <w:p w14:paraId="4C236EFF" w14:textId="77777777" w:rsidR="00C05B2F" w:rsidRDefault="00C05B2F" w:rsidP="0086774F">
            <w:pPr>
              <w:kinsoku w:val="0"/>
              <w:overflowPunct w:val="0"/>
              <w:ind w:left="187" w:hanging="187"/>
              <w:textAlignment w:val="baseline"/>
              <w:rPr>
                <w:rFonts w:eastAsia="+mn-ea" w:cs="+mn-cs"/>
                <w:color w:val="000000"/>
                <w:sz w:val="20"/>
                <w:szCs w:val="20"/>
              </w:rPr>
            </w:pPr>
            <w:r w:rsidRPr="00462C96">
              <w:rPr>
                <w:rFonts w:eastAsia="+mn-ea" w:cs="+mn-cs"/>
                <w:color w:val="000000"/>
                <w:sz w:val="20"/>
                <w:szCs w:val="20"/>
              </w:rPr>
              <w:t xml:space="preserve">Underwood, P.S. (2009). </w:t>
            </w:r>
            <w:r w:rsidRPr="00462C96">
              <w:rPr>
                <w:rFonts w:eastAsia="+mn-ea" w:cs="+mn-cs"/>
                <w:i/>
                <w:color w:val="000000"/>
                <w:sz w:val="20"/>
                <w:szCs w:val="20"/>
              </w:rPr>
              <w:t>Effects of culturally-responsive teaching practices on first grade students' reading comprehension and vocabulary gains</w:t>
            </w:r>
            <w:r w:rsidRPr="00462C96">
              <w:rPr>
                <w:rFonts w:eastAsia="+mn-ea" w:cs="+mn-cs"/>
                <w:color w:val="000000"/>
                <w:sz w:val="20"/>
                <w:szCs w:val="20"/>
              </w:rPr>
              <w:t>. Unpublished doctoral dissert</w:t>
            </w:r>
            <w:r>
              <w:rPr>
                <w:rFonts w:eastAsia="+mn-ea" w:cs="+mn-cs"/>
                <w:color w:val="000000"/>
                <w:sz w:val="20"/>
                <w:szCs w:val="20"/>
              </w:rPr>
              <w:t>ation, Florida State University.</w:t>
            </w:r>
          </w:p>
          <w:p w14:paraId="0665F9AB" w14:textId="77777777" w:rsidR="00C05B2F" w:rsidRDefault="00C05B2F" w:rsidP="001F3ED3">
            <w:pPr>
              <w:ind w:left="247" w:hanging="247"/>
              <w:rPr>
                <w:rStyle w:val="Hyperlink"/>
                <w:rFonts w:eastAsia="+mn-ea" w:cs="+mn-cs"/>
                <w:b/>
                <w:sz w:val="20"/>
                <w:szCs w:val="20"/>
                <w:u w:val="none"/>
              </w:rPr>
            </w:pPr>
            <w:r w:rsidRPr="00462C96">
              <w:rPr>
                <w:rFonts w:eastAsia="+mn-ea" w:cs="+mn-cs"/>
                <w:color w:val="000000"/>
                <w:sz w:val="20"/>
                <w:szCs w:val="20"/>
              </w:rPr>
              <w:t xml:space="preserve">U.S. Department of Health and Human Services and U.S. Department of Education. (2014). </w:t>
            </w:r>
            <w:r w:rsidRPr="004445A2">
              <w:rPr>
                <w:rFonts w:eastAsia="+mn-ea" w:cs="+mn-cs"/>
                <w:i/>
                <w:color w:val="000000"/>
                <w:sz w:val="20"/>
                <w:szCs w:val="20"/>
              </w:rPr>
              <w:t xml:space="preserve">Policy statement on expulsion and suspension policies in early childhood settings. </w:t>
            </w:r>
            <w:r w:rsidRPr="00462C96">
              <w:rPr>
                <w:rFonts w:eastAsia="+mn-ea" w:cs="+mn-cs"/>
                <w:color w:val="000000"/>
                <w:sz w:val="20"/>
                <w:szCs w:val="20"/>
              </w:rPr>
              <w:t xml:space="preserve">Washington, DC: Authors.  </w:t>
            </w:r>
            <w:hyperlink r:id="rId47" w:history="1">
              <w:r w:rsidRPr="00462C96">
                <w:rPr>
                  <w:rStyle w:val="Hyperlink"/>
                  <w:rFonts w:eastAsia="+mn-ea" w:cs="+mn-cs"/>
                  <w:b/>
                  <w:sz w:val="20"/>
                  <w:szCs w:val="20"/>
                  <w:u w:val="none"/>
                </w:rPr>
                <w:t>http://www2.ed.gov/policy/gen/guid/school-discipline/policy-statement-ece-expulsions-suspensions.pdf</w:t>
              </w:r>
            </w:hyperlink>
          </w:p>
          <w:p w14:paraId="1127BE1C" w14:textId="77777777" w:rsidR="00C05B2F" w:rsidRPr="00DF7661" w:rsidRDefault="00C05B2F" w:rsidP="0086774F">
            <w:pPr>
              <w:rPr>
                <w:rStyle w:val="Hyperlink"/>
                <w:rFonts w:eastAsia="+mn-ea" w:cs="+mn-cs"/>
                <w:sz w:val="8"/>
                <w:szCs w:val="20"/>
              </w:rPr>
            </w:pPr>
          </w:p>
          <w:p w14:paraId="05CF1950" w14:textId="1DE03F1A" w:rsidR="00C05B2F" w:rsidRPr="00462C96" w:rsidRDefault="00C05B2F" w:rsidP="00B674D7">
            <w:pPr>
              <w:autoSpaceDE w:val="0"/>
              <w:autoSpaceDN w:val="0"/>
              <w:adjustRightInd w:val="0"/>
              <w:rPr>
                <w:b/>
              </w:rPr>
            </w:pPr>
            <w:r w:rsidRPr="004445A2">
              <w:rPr>
                <w:b/>
              </w:rPr>
              <w:t>Children’s learning and development is enhanced when early childhood professionals</w:t>
            </w:r>
            <w:r w:rsidR="00B674D7">
              <w:rPr>
                <w:b/>
              </w:rPr>
              <w:t xml:space="preserve"> </w:t>
            </w:r>
            <w:r w:rsidRPr="004445A2">
              <w:rPr>
                <w:b/>
              </w:rPr>
              <w:t>recognize the benefits of multilingualism and actively support children’s home languages</w:t>
            </w:r>
            <w:r>
              <w:rPr>
                <w:b/>
              </w:rPr>
              <w:t xml:space="preserve"> and culture</w:t>
            </w:r>
            <w:r w:rsidR="00767550">
              <w:rPr>
                <w:b/>
              </w:rPr>
              <w:t>s</w:t>
            </w:r>
            <w:r w:rsidR="0064406F">
              <w:rPr>
                <w:b/>
              </w:rPr>
              <w:t>.</w:t>
            </w:r>
          </w:p>
          <w:p w14:paraId="3B2EDAF3" w14:textId="77777777" w:rsidR="00C05B2F" w:rsidRPr="00462C96" w:rsidRDefault="00C05B2F" w:rsidP="0086774F">
            <w:pPr>
              <w:kinsoku w:val="0"/>
              <w:overflowPunct w:val="0"/>
              <w:ind w:left="187" w:hanging="187"/>
              <w:textAlignment w:val="baseline"/>
              <w:rPr>
                <w:rFonts w:eastAsia="+mn-ea" w:cs="+mn-cs"/>
                <w:color w:val="000000"/>
                <w:sz w:val="20"/>
                <w:szCs w:val="20"/>
              </w:rPr>
            </w:pPr>
            <w:r w:rsidRPr="00462C96">
              <w:rPr>
                <w:rFonts w:eastAsia="+mn-ea" w:cs="+mn-cs"/>
                <w:color w:val="000000"/>
                <w:sz w:val="20"/>
                <w:szCs w:val="20"/>
              </w:rPr>
              <w:t xml:space="preserve">McCabe, A., Bornstein, M., </w:t>
            </w:r>
            <w:proofErr w:type="spellStart"/>
            <w:r w:rsidRPr="00462C96">
              <w:rPr>
                <w:rFonts w:eastAsia="+mn-ea" w:cs="+mn-cs"/>
                <w:color w:val="000000"/>
                <w:sz w:val="20"/>
                <w:szCs w:val="20"/>
              </w:rPr>
              <w:t>Wishard</w:t>
            </w:r>
            <w:proofErr w:type="spellEnd"/>
            <w:r w:rsidRPr="00462C96">
              <w:rPr>
                <w:rFonts w:eastAsia="+mn-ea" w:cs="+mn-cs"/>
                <w:color w:val="000000"/>
                <w:sz w:val="20"/>
                <w:szCs w:val="20"/>
              </w:rPr>
              <w:t xml:space="preserve"> Guerra, A., </w:t>
            </w:r>
            <w:proofErr w:type="spellStart"/>
            <w:r w:rsidRPr="00462C96">
              <w:rPr>
                <w:rFonts w:eastAsia="+mn-ea" w:cs="+mn-cs"/>
                <w:color w:val="000000"/>
                <w:sz w:val="20"/>
                <w:szCs w:val="20"/>
              </w:rPr>
              <w:t>Kuohirko</w:t>
            </w:r>
            <w:proofErr w:type="spellEnd"/>
            <w:r w:rsidRPr="00462C96">
              <w:rPr>
                <w:rFonts w:eastAsia="+mn-ea" w:cs="+mn-cs"/>
                <w:color w:val="000000"/>
                <w:sz w:val="20"/>
                <w:szCs w:val="20"/>
              </w:rPr>
              <w:t xml:space="preserve">, Y., </w:t>
            </w:r>
            <w:proofErr w:type="spellStart"/>
            <w:r w:rsidRPr="00462C96">
              <w:rPr>
                <w:rFonts w:eastAsia="+mn-ea" w:cs="+mn-cs"/>
                <w:color w:val="000000"/>
                <w:sz w:val="20"/>
                <w:szCs w:val="20"/>
              </w:rPr>
              <w:t>Paez</w:t>
            </w:r>
            <w:proofErr w:type="spellEnd"/>
            <w:r w:rsidRPr="00462C96">
              <w:rPr>
                <w:rFonts w:eastAsia="+mn-ea" w:cs="+mn-cs"/>
                <w:color w:val="000000"/>
                <w:sz w:val="20"/>
                <w:szCs w:val="20"/>
              </w:rPr>
              <w:t xml:space="preserve">, M., </w:t>
            </w:r>
            <w:proofErr w:type="spellStart"/>
            <w:r w:rsidRPr="00462C96">
              <w:rPr>
                <w:rFonts w:eastAsia="+mn-ea" w:cs="+mn-cs"/>
                <w:color w:val="000000"/>
                <w:sz w:val="20"/>
                <w:szCs w:val="20"/>
              </w:rPr>
              <w:t>Tamis-Lemonda</w:t>
            </w:r>
            <w:proofErr w:type="spellEnd"/>
            <w:r w:rsidRPr="00462C96">
              <w:rPr>
                <w:rFonts w:eastAsia="+mn-ea" w:cs="+mn-cs"/>
                <w:color w:val="000000"/>
                <w:sz w:val="20"/>
                <w:szCs w:val="20"/>
              </w:rPr>
              <w:t xml:space="preserve">, C., et al. (2013). </w:t>
            </w:r>
            <w:r w:rsidRPr="00462C96">
              <w:rPr>
                <w:rFonts w:eastAsia="+mn-ea" w:cs="+mn-cs"/>
                <w:i/>
                <w:color w:val="000000"/>
                <w:sz w:val="20"/>
                <w:szCs w:val="20"/>
              </w:rPr>
              <w:t>Multilingual children: Beyond myths and toward best practices</w:t>
            </w:r>
            <w:r w:rsidRPr="00462C96">
              <w:rPr>
                <w:rFonts w:eastAsia="+mn-ea" w:cs="+mn-cs"/>
                <w:color w:val="000000"/>
                <w:sz w:val="20"/>
                <w:szCs w:val="20"/>
              </w:rPr>
              <w:t>. Society for Research in Child Development.</w:t>
            </w:r>
          </w:p>
          <w:p w14:paraId="0F926FD3" w14:textId="3CDFD24A" w:rsidR="00C05B2F" w:rsidRDefault="00C05B2F" w:rsidP="0086774F">
            <w:pPr>
              <w:kinsoku w:val="0"/>
              <w:overflowPunct w:val="0"/>
              <w:ind w:left="187" w:hanging="187"/>
              <w:textAlignment w:val="baseline"/>
              <w:rPr>
                <w:rFonts w:eastAsia="+mn-ea" w:cs="+mn-cs"/>
                <w:color w:val="000000"/>
                <w:sz w:val="20"/>
                <w:szCs w:val="20"/>
              </w:rPr>
            </w:pPr>
            <w:r w:rsidRPr="00462C96">
              <w:rPr>
                <w:rFonts w:eastAsia="+mn-ea" w:cs="+mn-cs"/>
                <w:color w:val="000000"/>
                <w:sz w:val="20"/>
                <w:szCs w:val="20"/>
              </w:rPr>
              <w:t xml:space="preserve">U.S. Department of Health and Human Services and U.S. Department of Education. (2017). </w:t>
            </w:r>
            <w:r w:rsidRPr="00996C62">
              <w:rPr>
                <w:rFonts w:eastAsia="+mn-ea" w:cs="+mn-cs"/>
                <w:i/>
                <w:color w:val="000000"/>
                <w:sz w:val="20"/>
                <w:szCs w:val="20"/>
              </w:rPr>
              <w:t xml:space="preserve">Policy statement on supporting the development of children who </w:t>
            </w:r>
            <w:r w:rsidR="00892085">
              <w:rPr>
                <w:rFonts w:eastAsia="+mn-ea" w:cs="+mn-cs"/>
                <w:i/>
                <w:color w:val="000000"/>
                <w:sz w:val="20"/>
                <w:szCs w:val="20"/>
              </w:rPr>
              <w:t>a</w:t>
            </w:r>
            <w:r w:rsidRPr="00996C62">
              <w:rPr>
                <w:rFonts w:eastAsia="+mn-ea" w:cs="+mn-cs"/>
                <w:i/>
                <w:color w:val="000000"/>
                <w:sz w:val="20"/>
                <w:szCs w:val="20"/>
              </w:rPr>
              <w:t>re dual language learners in early childhood programs</w:t>
            </w:r>
            <w:r w:rsidRPr="00462C96">
              <w:rPr>
                <w:rFonts w:eastAsia="+mn-ea" w:cs="+mn-cs"/>
                <w:color w:val="000000"/>
                <w:sz w:val="20"/>
                <w:szCs w:val="20"/>
              </w:rPr>
              <w:t xml:space="preserve">. Washington, DC: Authors. </w:t>
            </w:r>
            <w:hyperlink r:id="rId48" w:history="1">
              <w:r w:rsidRPr="00462C96">
                <w:rPr>
                  <w:rStyle w:val="Hyperlink"/>
                  <w:rFonts w:eastAsia="+mn-ea" w:cs="+mn-cs"/>
                  <w:b/>
                  <w:sz w:val="20"/>
                  <w:szCs w:val="20"/>
                  <w:u w:val="none"/>
                </w:rPr>
                <w:t>https://www.acf.hhs.gov/sites/default/files/ecd/dll_policy_statement_final.pdf</w:t>
              </w:r>
            </w:hyperlink>
            <w:r w:rsidRPr="00462C96">
              <w:rPr>
                <w:rFonts w:eastAsia="+mn-ea" w:cs="+mn-cs"/>
                <w:color w:val="000000"/>
                <w:sz w:val="20"/>
                <w:szCs w:val="20"/>
              </w:rPr>
              <w:t xml:space="preserve">  </w:t>
            </w:r>
          </w:p>
          <w:p w14:paraId="575647D8" w14:textId="77777777" w:rsidR="00892085" w:rsidRPr="00892085" w:rsidRDefault="00892085" w:rsidP="0086774F">
            <w:pPr>
              <w:kinsoku w:val="0"/>
              <w:overflowPunct w:val="0"/>
              <w:ind w:left="187" w:hanging="187"/>
              <w:textAlignment w:val="baseline"/>
              <w:rPr>
                <w:rFonts w:eastAsia="+mn-ea" w:cs="+mn-cs"/>
                <w:color w:val="000000"/>
                <w:sz w:val="8"/>
                <w:szCs w:val="20"/>
              </w:rPr>
            </w:pPr>
          </w:p>
          <w:p w14:paraId="01274A83" w14:textId="77777777" w:rsidR="00DF7661" w:rsidRDefault="00892085" w:rsidP="001F3ED3">
            <w:pPr>
              <w:ind w:left="247" w:hanging="247"/>
              <w:rPr>
                <w:b/>
              </w:rPr>
            </w:pPr>
            <w:r>
              <w:rPr>
                <w:b/>
              </w:rPr>
              <w:t xml:space="preserve">Evidence-based and recommended practices </w:t>
            </w:r>
            <w:r w:rsidRPr="00892085">
              <w:rPr>
                <w:b/>
              </w:rPr>
              <w:t xml:space="preserve">are </w:t>
            </w:r>
            <w:r w:rsidR="00DF7661" w:rsidRPr="00DF7661">
              <w:rPr>
                <w:b/>
              </w:rPr>
              <w:t>the most effective way to improve the learning outcomes and promote the development of young children, birth through age 5, who have or are at-risk for developmental delays or disabilities.</w:t>
            </w:r>
            <w:r w:rsidR="00DF7661">
              <w:rPr>
                <w:b/>
              </w:rPr>
              <w:t xml:space="preserve"> </w:t>
            </w:r>
          </w:p>
          <w:p w14:paraId="7FF31756" w14:textId="77777777" w:rsidR="00DF7661" w:rsidRDefault="00DF7661" w:rsidP="001F3ED3">
            <w:pPr>
              <w:ind w:left="247" w:hanging="247"/>
              <w:rPr>
                <w:rFonts w:cstheme="minorHAnsi"/>
                <w:color w:val="152635"/>
                <w:sz w:val="20"/>
              </w:rPr>
            </w:pPr>
            <w:r w:rsidRPr="00DF7661">
              <w:rPr>
                <w:rFonts w:cstheme="minorHAnsi"/>
                <w:color w:val="152635"/>
                <w:sz w:val="20"/>
              </w:rPr>
              <w:t>Division for Early Childhood. (2014). </w:t>
            </w:r>
            <w:r w:rsidRPr="00DF7661">
              <w:rPr>
                <w:rFonts w:cstheme="minorHAnsi"/>
                <w:i/>
                <w:color w:val="152635"/>
                <w:sz w:val="20"/>
              </w:rPr>
              <w:t>DEC recommended practices in early intervention/early childhood special education</w:t>
            </w:r>
            <w:r w:rsidRPr="00DF7661">
              <w:rPr>
                <w:rFonts w:cstheme="minorHAnsi"/>
                <w:color w:val="152635"/>
                <w:sz w:val="20"/>
              </w:rPr>
              <w:t xml:space="preserve"> 2014. </w:t>
            </w:r>
            <w:r>
              <w:rPr>
                <w:rFonts w:cstheme="minorHAnsi"/>
                <w:color w:val="152635"/>
                <w:sz w:val="20"/>
              </w:rPr>
              <w:t xml:space="preserve">Washington, DC: Author. </w:t>
            </w:r>
            <w:hyperlink r:id="rId49" w:history="1">
              <w:r w:rsidRPr="00DF7661">
                <w:rPr>
                  <w:rStyle w:val="Hyperlink"/>
                  <w:rFonts w:cstheme="minorHAnsi"/>
                  <w:b/>
                  <w:sz w:val="20"/>
                  <w:u w:val="none"/>
                </w:rPr>
                <w:t>http://www.dec-sped.org/dec-recommended-practices</w:t>
              </w:r>
            </w:hyperlink>
            <w:r>
              <w:rPr>
                <w:rFonts w:cstheme="minorHAnsi"/>
                <w:color w:val="152635"/>
                <w:sz w:val="20"/>
              </w:rPr>
              <w:t xml:space="preserve"> </w:t>
            </w:r>
          </w:p>
          <w:p w14:paraId="633A5FB6" w14:textId="77777777" w:rsidR="00DF7661" w:rsidRPr="00DF7661" w:rsidRDefault="00DF7661" w:rsidP="001F3ED3">
            <w:pPr>
              <w:ind w:left="247" w:hanging="247"/>
              <w:rPr>
                <w:b/>
                <w:sz w:val="8"/>
              </w:rPr>
            </w:pPr>
          </w:p>
          <w:p w14:paraId="60224339" w14:textId="2BD3463D" w:rsidR="00C05B2F" w:rsidRDefault="00070AEF" w:rsidP="001F3ED3">
            <w:pPr>
              <w:ind w:left="247" w:hanging="247"/>
              <w:rPr>
                <w:b/>
              </w:rPr>
            </w:pPr>
            <w:r>
              <w:rPr>
                <w:b/>
              </w:rPr>
              <w:t>A</w:t>
            </w:r>
            <w:r w:rsidRPr="00070AEF">
              <w:rPr>
                <w:b/>
              </w:rPr>
              <w:t xml:space="preserve"> trauma-informed comprehensive approach has clear benefits for consumers and caregivers alike</w:t>
            </w:r>
            <w:r>
              <w:rPr>
                <w:b/>
              </w:rPr>
              <w:t>.</w:t>
            </w:r>
          </w:p>
          <w:p w14:paraId="7FD8B96E" w14:textId="3FC11858" w:rsidR="00892085" w:rsidRPr="00892085" w:rsidRDefault="00892085" w:rsidP="001F3ED3">
            <w:pPr>
              <w:ind w:left="247" w:hanging="247"/>
            </w:pPr>
            <w:r w:rsidRPr="00892085">
              <w:rPr>
                <w:sz w:val="20"/>
              </w:rPr>
              <w:t xml:space="preserve">Hepburn, S. </w:t>
            </w:r>
            <w:r>
              <w:rPr>
                <w:sz w:val="20"/>
              </w:rPr>
              <w:t xml:space="preserve">(2017). </w:t>
            </w:r>
            <w:r w:rsidRPr="00892085">
              <w:rPr>
                <w:i/>
                <w:sz w:val="20"/>
              </w:rPr>
              <w:t>Quantitative benefits of trauma-informed care</w:t>
            </w:r>
            <w:r>
              <w:rPr>
                <w:sz w:val="20"/>
              </w:rPr>
              <w:t xml:space="preserve">. Alexandria, VA: National Association of State Mental Health Program Directors. </w:t>
            </w:r>
            <w:hyperlink r:id="rId50" w:history="1">
              <w:r w:rsidRPr="00892085">
                <w:rPr>
                  <w:rStyle w:val="Hyperlink"/>
                  <w:b/>
                  <w:sz w:val="19"/>
                  <w:szCs w:val="19"/>
                  <w:u w:val="none"/>
                </w:rPr>
                <w:t>https://www.nasmhpd.org/sites/default/files/TAC.Paper_.5.Quantitative_Benefits_TraumaInformedCare_Final.pdf</w:t>
              </w:r>
            </w:hyperlink>
            <w:r>
              <w:rPr>
                <w:sz w:val="20"/>
              </w:rPr>
              <w:t xml:space="preserve"> </w:t>
            </w:r>
          </w:p>
        </w:tc>
      </w:tr>
    </w:tbl>
    <w:p w14:paraId="58B3E572" w14:textId="240F034F" w:rsidR="00367C09" w:rsidRPr="00462C96" w:rsidRDefault="00A90FEB" w:rsidP="00070AEF">
      <w:r w:rsidRPr="00462C96">
        <w:t>Compiled by Camille Catlett</w:t>
      </w:r>
      <w:r w:rsidRPr="00462C96">
        <w:tab/>
      </w:r>
      <w:r w:rsidR="005C21C9">
        <w:t>November 2018</w:t>
      </w:r>
      <w:bookmarkEnd w:id="0"/>
    </w:p>
    <w:sectPr w:rsidR="00367C09" w:rsidRPr="00462C96" w:rsidSect="00BE3E7B">
      <w:footerReference w:type="default" r:id="rId51"/>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7E571" w14:textId="77777777" w:rsidR="004407FA" w:rsidRDefault="004407FA" w:rsidP="005F7265">
      <w:pPr>
        <w:spacing w:after="0" w:line="240" w:lineRule="auto"/>
      </w:pPr>
      <w:r>
        <w:separator/>
      </w:r>
    </w:p>
  </w:endnote>
  <w:endnote w:type="continuationSeparator" w:id="0">
    <w:p w14:paraId="0B925EE1" w14:textId="77777777" w:rsidR="004407FA" w:rsidRDefault="004407FA" w:rsidP="005F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112941"/>
      <w:docPartObj>
        <w:docPartGallery w:val="Page Numbers (Bottom of Page)"/>
        <w:docPartUnique/>
      </w:docPartObj>
    </w:sdtPr>
    <w:sdtEndPr>
      <w:rPr>
        <w:noProof/>
      </w:rPr>
    </w:sdtEndPr>
    <w:sdtContent>
      <w:p w14:paraId="6C856888" w14:textId="3C8007A3" w:rsidR="00952E02" w:rsidRDefault="00952E02">
        <w:pPr>
          <w:pStyle w:val="Footer"/>
          <w:jc w:val="right"/>
        </w:pPr>
        <w:r>
          <w:fldChar w:fldCharType="begin"/>
        </w:r>
        <w:r>
          <w:instrText xml:space="preserve"> PAGE   \* MERGEFORMAT </w:instrText>
        </w:r>
        <w:r>
          <w:fldChar w:fldCharType="separate"/>
        </w:r>
        <w:r w:rsidR="002F1940">
          <w:rPr>
            <w:noProof/>
          </w:rPr>
          <w:t>1</w:t>
        </w:r>
        <w:r>
          <w:rPr>
            <w:noProof/>
          </w:rPr>
          <w:fldChar w:fldCharType="end"/>
        </w:r>
      </w:p>
    </w:sdtContent>
  </w:sdt>
  <w:p w14:paraId="196D1867" w14:textId="77777777" w:rsidR="005F7265" w:rsidRDefault="005F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29A0A" w14:textId="77777777" w:rsidR="004407FA" w:rsidRDefault="004407FA" w:rsidP="005F7265">
      <w:pPr>
        <w:spacing w:after="0" w:line="240" w:lineRule="auto"/>
      </w:pPr>
      <w:r>
        <w:separator/>
      </w:r>
    </w:p>
  </w:footnote>
  <w:footnote w:type="continuationSeparator" w:id="0">
    <w:p w14:paraId="2DEAC1A2" w14:textId="77777777" w:rsidR="004407FA" w:rsidRDefault="004407FA" w:rsidP="005F7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37D6"/>
    <w:multiLevelType w:val="hybridMultilevel"/>
    <w:tmpl w:val="8EB07090"/>
    <w:lvl w:ilvl="0" w:tplc="B70CE5A0">
      <w:start w:val="1"/>
      <w:numFmt w:val="bullet"/>
      <w:lvlText w:val=""/>
      <w:lvlJc w:val="left"/>
      <w:pPr>
        <w:ind w:left="360" w:hanging="360"/>
      </w:pPr>
      <w:rPr>
        <w:rFonts w:ascii="Symbol" w:hAnsi="Symbol" w:hint="default"/>
        <w:color w:val="auto"/>
        <w:sz w:val="24"/>
        <w:szCs w:val="2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B483323"/>
    <w:multiLevelType w:val="multilevel"/>
    <w:tmpl w:val="EAD8F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3434E"/>
    <w:multiLevelType w:val="hybridMultilevel"/>
    <w:tmpl w:val="C16834FC"/>
    <w:lvl w:ilvl="0" w:tplc="B70CE5A0">
      <w:start w:val="1"/>
      <w:numFmt w:val="bullet"/>
      <w:lvlText w:val=""/>
      <w:lvlJc w:val="left"/>
      <w:pPr>
        <w:ind w:left="360" w:hanging="360"/>
      </w:pPr>
      <w:rPr>
        <w:rFonts w:ascii="Symbol" w:hAnsi="Symbol" w:hint="default"/>
        <w:color w:val="auto"/>
        <w:sz w:val="24"/>
        <w:szCs w:val="2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6A05C39"/>
    <w:multiLevelType w:val="hybridMultilevel"/>
    <w:tmpl w:val="09E28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2C2638"/>
    <w:multiLevelType w:val="hybridMultilevel"/>
    <w:tmpl w:val="BE08E830"/>
    <w:lvl w:ilvl="0" w:tplc="0972BADC">
      <w:start w:val="1"/>
      <w:numFmt w:val="bullet"/>
      <w:lvlText w:val="•"/>
      <w:lvlJc w:val="left"/>
      <w:pPr>
        <w:tabs>
          <w:tab w:val="num" w:pos="720"/>
        </w:tabs>
        <w:ind w:left="720" w:hanging="360"/>
      </w:pPr>
      <w:rPr>
        <w:rFonts w:ascii="Arial" w:hAnsi="Arial" w:hint="default"/>
      </w:rPr>
    </w:lvl>
    <w:lvl w:ilvl="1" w:tplc="0590CD92" w:tentative="1">
      <w:start w:val="1"/>
      <w:numFmt w:val="bullet"/>
      <w:lvlText w:val="•"/>
      <w:lvlJc w:val="left"/>
      <w:pPr>
        <w:tabs>
          <w:tab w:val="num" w:pos="1440"/>
        </w:tabs>
        <w:ind w:left="1440" w:hanging="360"/>
      </w:pPr>
      <w:rPr>
        <w:rFonts w:ascii="Arial" w:hAnsi="Arial" w:hint="default"/>
      </w:rPr>
    </w:lvl>
    <w:lvl w:ilvl="2" w:tplc="0526D30A" w:tentative="1">
      <w:start w:val="1"/>
      <w:numFmt w:val="bullet"/>
      <w:lvlText w:val="•"/>
      <w:lvlJc w:val="left"/>
      <w:pPr>
        <w:tabs>
          <w:tab w:val="num" w:pos="2160"/>
        </w:tabs>
        <w:ind w:left="2160" w:hanging="360"/>
      </w:pPr>
      <w:rPr>
        <w:rFonts w:ascii="Arial" w:hAnsi="Arial" w:hint="default"/>
      </w:rPr>
    </w:lvl>
    <w:lvl w:ilvl="3" w:tplc="E396ADD6" w:tentative="1">
      <w:start w:val="1"/>
      <w:numFmt w:val="bullet"/>
      <w:lvlText w:val="•"/>
      <w:lvlJc w:val="left"/>
      <w:pPr>
        <w:tabs>
          <w:tab w:val="num" w:pos="2880"/>
        </w:tabs>
        <w:ind w:left="2880" w:hanging="360"/>
      </w:pPr>
      <w:rPr>
        <w:rFonts w:ascii="Arial" w:hAnsi="Arial" w:hint="default"/>
      </w:rPr>
    </w:lvl>
    <w:lvl w:ilvl="4" w:tplc="6FAEEDCA" w:tentative="1">
      <w:start w:val="1"/>
      <w:numFmt w:val="bullet"/>
      <w:lvlText w:val="•"/>
      <w:lvlJc w:val="left"/>
      <w:pPr>
        <w:tabs>
          <w:tab w:val="num" w:pos="3600"/>
        </w:tabs>
        <w:ind w:left="3600" w:hanging="360"/>
      </w:pPr>
      <w:rPr>
        <w:rFonts w:ascii="Arial" w:hAnsi="Arial" w:hint="default"/>
      </w:rPr>
    </w:lvl>
    <w:lvl w:ilvl="5" w:tplc="F53C8D98" w:tentative="1">
      <w:start w:val="1"/>
      <w:numFmt w:val="bullet"/>
      <w:lvlText w:val="•"/>
      <w:lvlJc w:val="left"/>
      <w:pPr>
        <w:tabs>
          <w:tab w:val="num" w:pos="4320"/>
        </w:tabs>
        <w:ind w:left="4320" w:hanging="360"/>
      </w:pPr>
      <w:rPr>
        <w:rFonts w:ascii="Arial" w:hAnsi="Arial" w:hint="default"/>
      </w:rPr>
    </w:lvl>
    <w:lvl w:ilvl="6" w:tplc="8DEAD9B2" w:tentative="1">
      <w:start w:val="1"/>
      <w:numFmt w:val="bullet"/>
      <w:lvlText w:val="•"/>
      <w:lvlJc w:val="left"/>
      <w:pPr>
        <w:tabs>
          <w:tab w:val="num" w:pos="5040"/>
        </w:tabs>
        <w:ind w:left="5040" w:hanging="360"/>
      </w:pPr>
      <w:rPr>
        <w:rFonts w:ascii="Arial" w:hAnsi="Arial" w:hint="default"/>
      </w:rPr>
    </w:lvl>
    <w:lvl w:ilvl="7" w:tplc="03901E5C" w:tentative="1">
      <w:start w:val="1"/>
      <w:numFmt w:val="bullet"/>
      <w:lvlText w:val="•"/>
      <w:lvlJc w:val="left"/>
      <w:pPr>
        <w:tabs>
          <w:tab w:val="num" w:pos="5760"/>
        </w:tabs>
        <w:ind w:left="5760" w:hanging="360"/>
      </w:pPr>
      <w:rPr>
        <w:rFonts w:ascii="Arial" w:hAnsi="Arial" w:hint="default"/>
      </w:rPr>
    </w:lvl>
    <w:lvl w:ilvl="8" w:tplc="164826A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lvlOverride w:ilvl="1">
      <w:lvl w:ilvl="1">
        <w:numFmt w:val="decimal"/>
        <w:lvlText w:val="%2."/>
        <w:lvlJc w:val="left"/>
        <w:pPr>
          <w:tabs>
            <w:tab w:val="num" w:pos="1440"/>
          </w:tabs>
          <w:ind w:left="1440" w:hanging="360"/>
        </w:pPr>
      </w:lvl>
    </w:lvlOverride>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E7B"/>
    <w:rsid w:val="00010042"/>
    <w:rsid w:val="0001009C"/>
    <w:rsid w:val="00011042"/>
    <w:rsid w:val="00016E6D"/>
    <w:rsid w:val="00042265"/>
    <w:rsid w:val="00047F29"/>
    <w:rsid w:val="00070AEF"/>
    <w:rsid w:val="00071CAA"/>
    <w:rsid w:val="00077D0F"/>
    <w:rsid w:val="00084559"/>
    <w:rsid w:val="000922E5"/>
    <w:rsid w:val="000B38BB"/>
    <w:rsid w:val="000D6E8C"/>
    <w:rsid w:val="000E3FA6"/>
    <w:rsid w:val="000E65C7"/>
    <w:rsid w:val="000F31E9"/>
    <w:rsid w:val="000F6E73"/>
    <w:rsid w:val="00110CFC"/>
    <w:rsid w:val="00110E39"/>
    <w:rsid w:val="00127630"/>
    <w:rsid w:val="00133C1E"/>
    <w:rsid w:val="001415E1"/>
    <w:rsid w:val="00146972"/>
    <w:rsid w:val="00146A6B"/>
    <w:rsid w:val="00155F01"/>
    <w:rsid w:val="0018090B"/>
    <w:rsid w:val="00192C8E"/>
    <w:rsid w:val="00196CC6"/>
    <w:rsid w:val="001B13A3"/>
    <w:rsid w:val="001B2197"/>
    <w:rsid w:val="001C0EB0"/>
    <w:rsid w:val="001C6B62"/>
    <w:rsid w:val="001D4FB4"/>
    <w:rsid w:val="001E7FB1"/>
    <w:rsid w:val="001F09CA"/>
    <w:rsid w:val="001F3ED3"/>
    <w:rsid w:val="001F4755"/>
    <w:rsid w:val="002077FA"/>
    <w:rsid w:val="002270E4"/>
    <w:rsid w:val="00251A05"/>
    <w:rsid w:val="0025492B"/>
    <w:rsid w:val="00257EE9"/>
    <w:rsid w:val="00282A43"/>
    <w:rsid w:val="00294BC2"/>
    <w:rsid w:val="002A1551"/>
    <w:rsid w:val="002A4276"/>
    <w:rsid w:val="002F1940"/>
    <w:rsid w:val="00307ADA"/>
    <w:rsid w:val="00327620"/>
    <w:rsid w:val="003347BA"/>
    <w:rsid w:val="003448D5"/>
    <w:rsid w:val="00353DA9"/>
    <w:rsid w:val="003661DE"/>
    <w:rsid w:val="00367C09"/>
    <w:rsid w:val="003A7D8D"/>
    <w:rsid w:val="003C28C7"/>
    <w:rsid w:val="003C323F"/>
    <w:rsid w:val="003D11DD"/>
    <w:rsid w:val="003D7B8E"/>
    <w:rsid w:val="003E301B"/>
    <w:rsid w:val="00403587"/>
    <w:rsid w:val="00404075"/>
    <w:rsid w:val="0041177A"/>
    <w:rsid w:val="004373B7"/>
    <w:rsid w:val="004407FA"/>
    <w:rsid w:val="004445A2"/>
    <w:rsid w:val="00444D0A"/>
    <w:rsid w:val="00446C2B"/>
    <w:rsid w:val="00446E4E"/>
    <w:rsid w:val="00450356"/>
    <w:rsid w:val="00454C4C"/>
    <w:rsid w:val="00460F18"/>
    <w:rsid w:val="00462C96"/>
    <w:rsid w:val="00462E57"/>
    <w:rsid w:val="00486AE6"/>
    <w:rsid w:val="00487355"/>
    <w:rsid w:val="004B094D"/>
    <w:rsid w:val="004B284F"/>
    <w:rsid w:val="004B73FA"/>
    <w:rsid w:val="004C1A36"/>
    <w:rsid w:val="004C49DC"/>
    <w:rsid w:val="004D3B5B"/>
    <w:rsid w:val="004D49FE"/>
    <w:rsid w:val="004D75C5"/>
    <w:rsid w:val="004F28C5"/>
    <w:rsid w:val="004F4110"/>
    <w:rsid w:val="00502808"/>
    <w:rsid w:val="00536242"/>
    <w:rsid w:val="00541C98"/>
    <w:rsid w:val="00542574"/>
    <w:rsid w:val="00546DD8"/>
    <w:rsid w:val="00561DE6"/>
    <w:rsid w:val="005625AD"/>
    <w:rsid w:val="00566656"/>
    <w:rsid w:val="00566E3C"/>
    <w:rsid w:val="0057408F"/>
    <w:rsid w:val="00582DF5"/>
    <w:rsid w:val="005A6BD6"/>
    <w:rsid w:val="005B5B9B"/>
    <w:rsid w:val="005C21C9"/>
    <w:rsid w:val="005D01F4"/>
    <w:rsid w:val="005E0D32"/>
    <w:rsid w:val="005E729A"/>
    <w:rsid w:val="005F1122"/>
    <w:rsid w:val="005F7265"/>
    <w:rsid w:val="006011DF"/>
    <w:rsid w:val="00607373"/>
    <w:rsid w:val="00623320"/>
    <w:rsid w:val="006240B8"/>
    <w:rsid w:val="00630D6D"/>
    <w:rsid w:val="00631D01"/>
    <w:rsid w:val="0064406F"/>
    <w:rsid w:val="00650798"/>
    <w:rsid w:val="006517C7"/>
    <w:rsid w:val="00664F95"/>
    <w:rsid w:val="006B24FD"/>
    <w:rsid w:val="006D0C51"/>
    <w:rsid w:val="006D716A"/>
    <w:rsid w:val="006E1E52"/>
    <w:rsid w:val="006F6271"/>
    <w:rsid w:val="006F6904"/>
    <w:rsid w:val="0072129E"/>
    <w:rsid w:val="00723465"/>
    <w:rsid w:val="0074734A"/>
    <w:rsid w:val="00750F1C"/>
    <w:rsid w:val="00757295"/>
    <w:rsid w:val="00767550"/>
    <w:rsid w:val="00772FC4"/>
    <w:rsid w:val="00773E6C"/>
    <w:rsid w:val="0079083D"/>
    <w:rsid w:val="007C1F28"/>
    <w:rsid w:val="007E47D0"/>
    <w:rsid w:val="007F0BC3"/>
    <w:rsid w:val="0082080A"/>
    <w:rsid w:val="00827A0B"/>
    <w:rsid w:val="00840217"/>
    <w:rsid w:val="00844656"/>
    <w:rsid w:val="00852211"/>
    <w:rsid w:val="0086233F"/>
    <w:rsid w:val="00862D22"/>
    <w:rsid w:val="00882836"/>
    <w:rsid w:val="00884486"/>
    <w:rsid w:val="00886272"/>
    <w:rsid w:val="00892085"/>
    <w:rsid w:val="00896FB6"/>
    <w:rsid w:val="008A25BE"/>
    <w:rsid w:val="008A704C"/>
    <w:rsid w:val="008C0D92"/>
    <w:rsid w:val="008C1569"/>
    <w:rsid w:val="008E1B81"/>
    <w:rsid w:val="008E6887"/>
    <w:rsid w:val="00906FD8"/>
    <w:rsid w:val="00910F18"/>
    <w:rsid w:val="0093525B"/>
    <w:rsid w:val="00946B6F"/>
    <w:rsid w:val="00952E02"/>
    <w:rsid w:val="00972A73"/>
    <w:rsid w:val="009735FA"/>
    <w:rsid w:val="00981664"/>
    <w:rsid w:val="0099275D"/>
    <w:rsid w:val="00996C62"/>
    <w:rsid w:val="009A155D"/>
    <w:rsid w:val="009A3DB3"/>
    <w:rsid w:val="009B1F50"/>
    <w:rsid w:val="009B2DEE"/>
    <w:rsid w:val="009F542C"/>
    <w:rsid w:val="00A00D24"/>
    <w:rsid w:val="00A26B60"/>
    <w:rsid w:val="00A35519"/>
    <w:rsid w:val="00A370D8"/>
    <w:rsid w:val="00A414B4"/>
    <w:rsid w:val="00A55582"/>
    <w:rsid w:val="00A6771D"/>
    <w:rsid w:val="00A90FEB"/>
    <w:rsid w:val="00A974C7"/>
    <w:rsid w:val="00AA2970"/>
    <w:rsid w:val="00AB038F"/>
    <w:rsid w:val="00AB76E8"/>
    <w:rsid w:val="00AD7996"/>
    <w:rsid w:val="00AE35F2"/>
    <w:rsid w:val="00B20155"/>
    <w:rsid w:val="00B203DB"/>
    <w:rsid w:val="00B301C2"/>
    <w:rsid w:val="00B31105"/>
    <w:rsid w:val="00B404DA"/>
    <w:rsid w:val="00B4621A"/>
    <w:rsid w:val="00B47C23"/>
    <w:rsid w:val="00B62A85"/>
    <w:rsid w:val="00B648DA"/>
    <w:rsid w:val="00B674D7"/>
    <w:rsid w:val="00B85833"/>
    <w:rsid w:val="00B909EA"/>
    <w:rsid w:val="00B97918"/>
    <w:rsid w:val="00BA4CBB"/>
    <w:rsid w:val="00BC0FCB"/>
    <w:rsid w:val="00BD5A76"/>
    <w:rsid w:val="00BE3B19"/>
    <w:rsid w:val="00BE3E7B"/>
    <w:rsid w:val="00BF4673"/>
    <w:rsid w:val="00C05B2F"/>
    <w:rsid w:val="00C21B0E"/>
    <w:rsid w:val="00C547DE"/>
    <w:rsid w:val="00C56648"/>
    <w:rsid w:val="00C56771"/>
    <w:rsid w:val="00C71DAB"/>
    <w:rsid w:val="00C8009B"/>
    <w:rsid w:val="00C900DF"/>
    <w:rsid w:val="00CA0D92"/>
    <w:rsid w:val="00CB3787"/>
    <w:rsid w:val="00CB7180"/>
    <w:rsid w:val="00CC11A3"/>
    <w:rsid w:val="00CE5257"/>
    <w:rsid w:val="00CF026F"/>
    <w:rsid w:val="00CF4932"/>
    <w:rsid w:val="00D058D2"/>
    <w:rsid w:val="00D3703E"/>
    <w:rsid w:val="00D40D55"/>
    <w:rsid w:val="00D55F9D"/>
    <w:rsid w:val="00D62CE9"/>
    <w:rsid w:val="00D71F7C"/>
    <w:rsid w:val="00D92313"/>
    <w:rsid w:val="00DF2AEA"/>
    <w:rsid w:val="00DF7661"/>
    <w:rsid w:val="00E062FE"/>
    <w:rsid w:val="00E13EFC"/>
    <w:rsid w:val="00E56086"/>
    <w:rsid w:val="00E908ED"/>
    <w:rsid w:val="00E91BB1"/>
    <w:rsid w:val="00ED53ED"/>
    <w:rsid w:val="00EF5452"/>
    <w:rsid w:val="00F467F6"/>
    <w:rsid w:val="00F5257C"/>
    <w:rsid w:val="00F66502"/>
    <w:rsid w:val="00F672FA"/>
    <w:rsid w:val="00F67747"/>
    <w:rsid w:val="00F82178"/>
    <w:rsid w:val="00F85BDC"/>
    <w:rsid w:val="00FA223D"/>
    <w:rsid w:val="00FA26FF"/>
    <w:rsid w:val="00FA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C274"/>
  <w15:chartTrackingRefBased/>
  <w15:docId w15:val="{22172096-608C-4D0C-9E30-07773CE9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D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54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7EE9"/>
    <w:rPr>
      <w:color w:val="0563C1" w:themeColor="hyperlink"/>
      <w:u w:val="single"/>
    </w:rPr>
  </w:style>
  <w:style w:type="character" w:customStyle="1" w:styleId="UnresolvedMention1">
    <w:name w:val="Unresolved Mention1"/>
    <w:basedOn w:val="DefaultParagraphFont"/>
    <w:uiPriority w:val="99"/>
    <w:semiHidden/>
    <w:unhideWhenUsed/>
    <w:rsid w:val="00C547DE"/>
    <w:rPr>
      <w:color w:val="808080"/>
      <w:shd w:val="clear" w:color="auto" w:fill="E6E6E6"/>
    </w:rPr>
  </w:style>
  <w:style w:type="character" w:styleId="FollowedHyperlink">
    <w:name w:val="FollowedHyperlink"/>
    <w:basedOn w:val="DefaultParagraphFont"/>
    <w:uiPriority w:val="99"/>
    <w:semiHidden/>
    <w:unhideWhenUsed/>
    <w:rsid w:val="00C547DE"/>
    <w:rPr>
      <w:color w:val="954F72" w:themeColor="followedHyperlink"/>
      <w:u w:val="single"/>
    </w:rPr>
  </w:style>
  <w:style w:type="paragraph" w:customStyle="1" w:styleId="issue-headerdescription">
    <w:name w:val="issue-header__description"/>
    <w:basedOn w:val="Normal"/>
    <w:rsid w:val="005F72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7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65"/>
  </w:style>
  <w:style w:type="paragraph" w:styleId="Footer">
    <w:name w:val="footer"/>
    <w:basedOn w:val="Normal"/>
    <w:link w:val="FooterChar"/>
    <w:uiPriority w:val="99"/>
    <w:unhideWhenUsed/>
    <w:rsid w:val="005F7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65"/>
  </w:style>
  <w:style w:type="character" w:customStyle="1" w:styleId="UnresolvedMention2">
    <w:name w:val="Unresolved Mention2"/>
    <w:basedOn w:val="DefaultParagraphFont"/>
    <w:uiPriority w:val="99"/>
    <w:semiHidden/>
    <w:unhideWhenUsed/>
    <w:rsid w:val="002A1551"/>
    <w:rPr>
      <w:color w:val="808080"/>
      <w:shd w:val="clear" w:color="auto" w:fill="E6E6E6"/>
    </w:rPr>
  </w:style>
  <w:style w:type="paragraph" w:styleId="ListParagraph">
    <w:name w:val="List Paragraph"/>
    <w:basedOn w:val="Normal"/>
    <w:uiPriority w:val="34"/>
    <w:qFormat/>
    <w:rsid w:val="00367C09"/>
    <w:pPr>
      <w:spacing w:after="0" w:line="240" w:lineRule="auto"/>
      <w:ind w:left="720"/>
      <w:contextualSpacing/>
    </w:pPr>
    <w:rPr>
      <w:rFonts w:eastAsiaTheme="minorEastAsia"/>
      <w:sz w:val="24"/>
      <w:szCs w:val="24"/>
    </w:rPr>
  </w:style>
  <w:style w:type="character" w:customStyle="1" w:styleId="Heading1Char">
    <w:name w:val="Heading 1 Char"/>
    <w:basedOn w:val="DefaultParagraphFont"/>
    <w:link w:val="Heading1"/>
    <w:uiPriority w:val="9"/>
    <w:rsid w:val="003A7D8D"/>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25492B"/>
    <w:rPr>
      <w:i/>
      <w:iCs/>
    </w:rPr>
  </w:style>
  <w:style w:type="paragraph" w:customStyle="1" w:styleId="Default">
    <w:name w:val="Default"/>
    <w:rsid w:val="00DF7661"/>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F67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7099">
      <w:bodyDiv w:val="1"/>
      <w:marLeft w:val="0"/>
      <w:marRight w:val="0"/>
      <w:marTop w:val="0"/>
      <w:marBottom w:val="0"/>
      <w:divBdr>
        <w:top w:val="none" w:sz="0" w:space="0" w:color="auto"/>
        <w:left w:val="none" w:sz="0" w:space="0" w:color="auto"/>
        <w:bottom w:val="none" w:sz="0" w:space="0" w:color="auto"/>
        <w:right w:val="none" w:sz="0" w:space="0" w:color="auto"/>
      </w:divBdr>
    </w:div>
    <w:div w:id="254367127">
      <w:bodyDiv w:val="1"/>
      <w:marLeft w:val="0"/>
      <w:marRight w:val="0"/>
      <w:marTop w:val="0"/>
      <w:marBottom w:val="0"/>
      <w:divBdr>
        <w:top w:val="none" w:sz="0" w:space="0" w:color="auto"/>
        <w:left w:val="none" w:sz="0" w:space="0" w:color="auto"/>
        <w:bottom w:val="none" w:sz="0" w:space="0" w:color="auto"/>
        <w:right w:val="none" w:sz="0" w:space="0" w:color="auto"/>
      </w:divBdr>
    </w:div>
    <w:div w:id="408161055">
      <w:bodyDiv w:val="1"/>
      <w:marLeft w:val="0"/>
      <w:marRight w:val="0"/>
      <w:marTop w:val="0"/>
      <w:marBottom w:val="0"/>
      <w:divBdr>
        <w:top w:val="none" w:sz="0" w:space="0" w:color="auto"/>
        <w:left w:val="none" w:sz="0" w:space="0" w:color="auto"/>
        <w:bottom w:val="none" w:sz="0" w:space="0" w:color="auto"/>
        <w:right w:val="none" w:sz="0" w:space="0" w:color="auto"/>
      </w:divBdr>
    </w:div>
    <w:div w:id="601183651">
      <w:bodyDiv w:val="1"/>
      <w:marLeft w:val="0"/>
      <w:marRight w:val="0"/>
      <w:marTop w:val="0"/>
      <w:marBottom w:val="0"/>
      <w:divBdr>
        <w:top w:val="none" w:sz="0" w:space="0" w:color="auto"/>
        <w:left w:val="none" w:sz="0" w:space="0" w:color="auto"/>
        <w:bottom w:val="none" w:sz="0" w:space="0" w:color="auto"/>
        <w:right w:val="none" w:sz="0" w:space="0" w:color="auto"/>
      </w:divBdr>
    </w:div>
    <w:div w:id="882523940">
      <w:bodyDiv w:val="1"/>
      <w:marLeft w:val="0"/>
      <w:marRight w:val="0"/>
      <w:marTop w:val="0"/>
      <w:marBottom w:val="0"/>
      <w:divBdr>
        <w:top w:val="none" w:sz="0" w:space="0" w:color="auto"/>
        <w:left w:val="none" w:sz="0" w:space="0" w:color="auto"/>
        <w:bottom w:val="none" w:sz="0" w:space="0" w:color="auto"/>
        <w:right w:val="none" w:sz="0" w:space="0" w:color="auto"/>
      </w:divBdr>
    </w:div>
    <w:div w:id="982542751">
      <w:bodyDiv w:val="1"/>
      <w:marLeft w:val="0"/>
      <w:marRight w:val="0"/>
      <w:marTop w:val="0"/>
      <w:marBottom w:val="0"/>
      <w:divBdr>
        <w:top w:val="none" w:sz="0" w:space="0" w:color="auto"/>
        <w:left w:val="none" w:sz="0" w:space="0" w:color="auto"/>
        <w:bottom w:val="none" w:sz="0" w:space="0" w:color="auto"/>
        <w:right w:val="none" w:sz="0" w:space="0" w:color="auto"/>
      </w:divBdr>
      <w:divsChild>
        <w:div w:id="2099475199">
          <w:marLeft w:val="0"/>
          <w:marRight w:val="0"/>
          <w:marTop w:val="0"/>
          <w:marBottom w:val="0"/>
          <w:divBdr>
            <w:top w:val="none" w:sz="0" w:space="0" w:color="auto"/>
            <w:left w:val="none" w:sz="0" w:space="0" w:color="auto"/>
            <w:bottom w:val="none" w:sz="0" w:space="0" w:color="auto"/>
            <w:right w:val="none" w:sz="0" w:space="0" w:color="auto"/>
          </w:divBdr>
          <w:divsChild>
            <w:div w:id="1136417004">
              <w:marLeft w:val="0"/>
              <w:marRight w:val="0"/>
              <w:marTop w:val="0"/>
              <w:marBottom w:val="0"/>
              <w:divBdr>
                <w:top w:val="none" w:sz="0" w:space="0" w:color="auto"/>
                <w:left w:val="none" w:sz="0" w:space="0" w:color="auto"/>
                <w:bottom w:val="none" w:sz="0" w:space="0" w:color="auto"/>
                <w:right w:val="none" w:sz="0" w:space="0" w:color="auto"/>
              </w:divBdr>
              <w:divsChild>
                <w:div w:id="720789606">
                  <w:marLeft w:val="0"/>
                  <w:marRight w:val="0"/>
                  <w:marTop w:val="0"/>
                  <w:marBottom w:val="0"/>
                  <w:divBdr>
                    <w:top w:val="none" w:sz="0" w:space="0" w:color="auto"/>
                    <w:left w:val="none" w:sz="0" w:space="0" w:color="auto"/>
                    <w:bottom w:val="none" w:sz="0" w:space="0" w:color="auto"/>
                    <w:right w:val="none" w:sz="0" w:space="0" w:color="auto"/>
                  </w:divBdr>
                  <w:divsChild>
                    <w:div w:id="533809278">
                      <w:marLeft w:val="0"/>
                      <w:marRight w:val="0"/>
                      <w:marTop w:val="0"/>
                      <w:marBottom w:val="0"/>
                      <w:divBdr>
                        <w:top w:val="none" w:sz="0" w:space="0" w:color="auto"/>
                        <w:left w:val="none" w:sz="0" w:space="0" w:color="auto"/>
                        <w:bottom w:val="none" w:sz="0" w:space="0" w:color="auto"/>
                        <w:right w:val="none" w:sz="0" w:space="0" w:color="auto"/>
                      </w:divBdr>
                      <w:divsChild>
                        <w:div w:id="1216621038">
                          <w:marLeft w:val="0"/>
                          <w:marRight w:val="0"/>
                          <w:marTop w:val="0"/>
                          <w:marBottom w:val="0"/>
                          <w:divBdr>
                            <w:top w:val="none" w:sz="0" w:space="0" w:color="auto"/>
                            <w:left w:val="none" w:sz="0" w:space="0" w:color="auto"/>
                            <w:bottom w:val="none" w:sz="0" w:space="0" w:color="auto"/>
                            <w:right w:val="none" w:sz="0" w:space="0" w:color="auto"/>
                          </w:divBdr>
                          <w:divsChild>
                            <w:div w:id="428427071">
                              <w:marLeft w:val="0"/>
                              <w:marRight w:val="0"/>
                              <w:marTop w:val="0"/>
                              <w:marBottom w:val="0"/>
                              <w:divBdr>
                                <w:top w:val="none" w:sz="0" w:space="0" w:color="auto"/>
                                <w:left w:val="none" w:sz="0" w:space="0" w:color="auto"/>
                                <w:bottom w:val="none" w:sz="0" w:space="0" w:color="auto"/>
                                <w:right w:val="none" w:sz="0" w:space="0" w:color="auto"/>
                              </w:divBdr>
                              <w:divsChild>
                                <w:div w:id="724646800">
                                  <w:marLeft w:val="0"/>
                                  <w:marRight w:val="0"/>
                                  <w:marTop w:val="0"/>
                                  <w:marBottom w:val="0"/>
                                  <w:divBdr>
                                    <w:top w:val="none" w:sz="0" w:space="0" w:color="auto"/>
                                    <w:left w:val="none" w:sz="0" w:space="0" w:color="auto"/>
                                    <w:bottom w:val="none" w:sz="0" w:space="0" w:color="auto"/>
                                    <w:right w:val="none" w:sz="0" w:space="0" w:color="auto"/>
                                  </w:divBdr>
                                  <w:divsChild>
                                    <w:div w:id="1244795944">
                                      <w:marLeft w:val="0"/>
                                      <w:marRight w:val="0"/>
                                      <w:marTop w:val="0"/>
                                      <w:marBottom w:val="0"/>
                                      <w:divBdr>
                                        <w:top w:val="none" w:sz="0" w:space="0" w:color="auto"/>
                                        <w:left w:val="none" w:sz="0" w:space="0" w:color="auto"/>
                                        <w:bottom w:val="none" w:sz="0" w:space="0" w:color="auto"/>
                                        <w:right w:val="none" w:sz="0" w:space="0" w:color="auto"/>
                                      </w:divBdr>
                                      <w:divsChild>
                                        <w:div w:id="942689057">
                                          <w:marLeft w:val="0"/>
                                          <w:marRight w:val="0"/>
                                          <w:marTop w:val="0"/>
                                          <w:marBottom w:val="0"/>
                                          <w:divBdr>
                                            <w:top w:val="none" w:sz="0" w:space="0" w:color="auto"/>
                                            <w:left w:val="none" w:sz="0" w:space="0" w:color="auto"/>
                                            <w:bottom w:val="none" w:sz="0" w:space="0" w:color="auto"/>
                                            <w:right w:val="none" w:sz="0" w:space="0" w:color="auto"/>
                                          </w:divBdr>
                                        </w:div>
                                      </w:divsChild>
                                    </w:div>
                                    <w:div w:id="976178046">
                                      <w:marLeft w:val="0"/>
                                      <w:marRight w:val="0"/>
                                      <w:marTop w:val="0"/>
                                      <w:marBottom w:val="0"/>
                                      <w:divBdr>
                                        <w:top w:val="none" w:sz="0" w:space="0" w:color="auto"/>
                                        <w:left w:val="none" w:sz="0" w:space="0" w:color="auto"/>
                                        <w:bottom w:val="none" w:sz="0" w:space="0" w:color="auto"/>
                                        <w:right w:val="none" w:sz="0" w:space="0" w:color="auto"/>
                                      </w:divBdr>
                                      <w:divsChild>
                                        <w:div w:id="1110272773">
                                          <w:marLeft w:val="0"/>
                                          <w:marRight w:val="0"/>
                                          <w:marTop w:val="0"/>
                                          <w:marBottom w:val="0"/>
                                          <w:divBdr>
                                            <w:top w:val="none" w:sz="0" w:space="0" w:color="auto"/>
                                            <w:left w:val="none" w:sz="0" w:space="0" w:color="auto"/>
                                            <w:bottom w:val="none" w:sz="0" w:space="0" w:color="auto"/>
                                            <w:right w:val="none" w:sz="0" w:space="0" w:color="auto"/>
                                          </w:divBdr>
                                        </w:div>
                                      </w:divsChild>
                                    </w:div>
                                    <w:div w:id="918370462">
                                      <w:marLeft w:val="0"/>
                                      <w:marRight w:val="0"/>
                                      <w:marTop w:val="0"/>
                                      <w:marBottom w:val="0"/>
                                      <w:divBdr>
                                        <w:top w:val="none" w:sz="0" w:space="0" w:color="auto"/>
                                        <w:left w:val="none" w:sz="0" w:space="0" w:color="auto"/>
                                        <w:bottom w:val="none" w:sz="0" w:space="0" w:color="auto"/>
                                        <w:right w:val="none" w:sz="0" w:space="0" w:color="auto"/>
                                      </w:divBdr>
                                      <w:divsChild>
                                        <w:div w:id="13650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383683">
      <w:bodyDiv w:val="1"/>
      <w:marLeft w:val="0"/>
      <w:marRight w:val="0"/>
      <w:marTop w:val="0"/>
      <w:marBottom w:val="0"/>
      <w:divBdr>
        <w:top w:val="none" w:sz="0" w:space="0" w:color="auto"/>
        <w:left w:val="none" w:sz="0" w:space="0" w:color="auto"/>
        <w:bottom w:val="none" w:sz="0" w:space="0" w:color="auto"/>
        <w:right w:val="none" w:sz="0" w:space="0" w:color="auto"/>
      </w:divBdr>
    </w:div>
    <w:div w:id="1257204674">
      <w:bodyDiv w:val="1"/>
      <w:marLeft w:val="0"/>
      <w:marRight w:val="0"/>
      <w:marTop w:val="0"/>
      <w:marBottom w:val="0"/>
      <w:divBdr>
        <w:top w:val="none" w:sz="0" w:space="0" w:color="auto"/>
        <w:left w:val="none" w:sz="0" w:space="0" w:color="auto"/>
        <w:bottom w:val="none" w:sz="0" w:space="0" w:color="auto"/>
        <w:right w:val="none" w:sz="0" w:space="0" w:color="auto"/>
      </w:divBdr>
      <w:divsChild>
        <w:div w:id="1703018735">
          <w:marLeft w:val="0"/>
          <w:marRight w:val="0"/>
          <w:marTop w:val="0"/>
          <w:marBottom w:val="0"/>
          <w:divBdr>
            <w:top w:val="none" w:sz="0" w:space="0" w:color="auto"/>
            <w:left w:val="none" w:sz="0" w:space="0" w:color="auto"/>
            <w:bottom w:val="none" w:sz="0" w:space="0" w:color="auto"/>
            <w:right w:val="none" w:sz="0" w:space="0" w:color="auto"/>
          </w:divBdr>
          <w:divsChild>
            <w:div w:id="987435425">
              <w:marLeft w:val="0"/>
              <w:marRight w:val="0"/>
              <w:marTop w:val="0"/>
              <w:marBottom w:val="0"/>
              <w:divBdr>
                <w:top w:val="none" w:sz="0" w:space="0" w:color="auto"/>
                <w:left w:val="none" w:sz="0" w:space="0" w:color="auto"/>
                <w:bottom w:val="none" w:sz="0" w:space="0" w:color="auto"/>
                <w:right w:val="none" w:sz="0" w:space="0" w:color="auto"/>
              </w:divBdr>
              <w:divsChild>
                <w:div w:id="2053842628">
                  <w:marLeft w:val="0"/>
                  <w:marRight w:val="0"/>
                  <w:marTop w:val="0"/>
                  <w:marBottom w:val="0"/>
                  <w:divBdr>
                    <w:top w:val="none" w:sz="0" w:space="0" w:color="auto"/>
                    <w:left w:val="none" w:sz="0" w:space="0" w:color="auto"/>
                    <w:bottom w:val="none" w:sz="0" w:space="0" w:color="auto"/>
                    <w:right w:val="none" w:sz="0" w:space="0" w:color="auto"/>
                  </w:divBdr>
                  <w:divsChild>
                    <w:div w:id="500584333">
                      <w:marLeft w:val="0"/>
                      <w:marRight w:val="0"/>
                      <w:marTop w:val="0"/>
                      <w:marBottom w:val="0"/>
                      <w:divBdr>
                        <w:top w:val="none" w:sz="0" w:space="0" w:color="auto"/>
                        <w:left w:val="none" w:sz="0" w:space="0" w:color="auto"/>
                        <w:bottom w:val="none" w:sz="0" w:space="0" w:color="auto"/>
                        <w:right w:val="none" w:sz="0" w:space="0" w:color="auto"/>
                      </w:divBdr>
                      <w:divsChild>
                        <w:div w:id="1163081335">
                          <w:marLeft w:val="0"/>
                          <w:marRight w:val="0"/>
                          <w:marTop w:val="0"/>
                          <w:marBottom w:val="0"/>
                          <w:divBdr>
                            <w:top w:val="none" w:sz="0" w:space="0" w:color="auto"/>
                            <w:left w:val="none" w:sz="0" w:space="0" w:color="auto"/>
                            <w:bottom w:val="none" w:sz="0" w:space="0" w:color="auto"/>
                            <w:right w:val="none" w:sz="0" w:space="0" w:color="auto"/>
                          </w:divBdr>
                          <w:divsChild>
                            <w:div w:id="375784507">
                              <w:marLeft w:val="0"/>
                              <w:marRight w:val="0"/>
                              <w:marTop w:val="0"/>
                              <w:marBottom w:val="0"/>
                              <w:divBdr>
                                <w:top w:val="none" w:sz="0" w:space="0" w:color="auto"/>
                                <w:left w:val="none" w:sz="0" w:space="0" w:color="auto"/>
                                <w:bottom w:val="none" w:sz="0" w:space="0" w:color="auto"/>
                                <w:right w:val="none" w:sz="0" w:space="0" w:color="auto"/>
                              </w:divBdr>
                              <w:divsChild>
                                <w:div w:id="19950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454569">
      <w:bodyDiv w:val="1"/>
      <w:marLeft w:val="0"/>
      <w:marRight w:val="0"/>
      <w:marTop w:val="0"/>
      <w:marBottom w:val="0"/>
      <w:divBdr>
        <w:top w:val="none" w:sz="0" w:space="0" w:color="auto"/>
        <w:left w:val="none" w:sz="0" w:space="0" w:color="auto"/>
        <w:bottom w:val="none" w:sz="0" w:space="0" w:color="auto"/>
        <w:right w:val="none" w:sz="0" w:space="0" w:color="auto"/>
      </w:divBdr>
      <w:divsChild>
        <w:div w:id="369651907">
          <w:marLeft w:val="0"/>
          <w:marRight w:val="0"/>
          <w:marTop w:val="0"/>
          <w:marBottom w:val="0"/>
          <w:divBdr>
            <w:top w:val="none" w:sz="0" w:space="0" w:color="auto"/>
            <w:left w:val="none" w:sz="0" w:space="0" w:color="auto"/>
            <w:bottom w:val="none" w:sz="0" w:space="0" w:color="auto"/>
            <w:right w:val="none" w:sz="0" w:space="0" w:color="auto"/>
          </w:divBdr>
        </w:div>
        <w:div w:id="508368980">
          <w:marLeft w:val="0"/>
          <w:marRight w:val="0"/>
          <w:marTop w:val="0"/>
          <w:marBottom w:val="0"/>
          <w:divBdr>
            <w:top w:val="none" w:sz="0" w:space="0" w:color="auto"/>
            <w:left w:val="none" w:sz="0" w:space="0" w:color="auto"/>
            <w:bottom w:val="none" w:sz="0" w:space="0" w:color="auto"/>
            <w:right w:val="none" w:sz="0" w:space="0" w:color="auto"/>
          </w:divBdr>
        </w:div>
      </w:divsChild>
    </w:div>
    <w:div w:id="1411350224">
      <w:bodyDiv w:val="1"/>
      <w:marLeft w:val="0"/>
      <w:marRight w:val="0"/>
      <w:marTop w:val="0"/>
      <w:marBottom w:val="0"/>
      <w:divBdr>
        <w:top w:val="none" w:sz="0" w:space="0" w:color="auto"/>
        <w:left w:val="none" w:sz="0" w:space="0" w:color="auto"/>
        <w:bottom w:val="none" w:sz="0" w:space="0" w:color="auto"/>
        <w:right w:val="none" w:sz="0" w:space="0" w:color="auto"/>
      </w:divBdr>
      <w:divsChild>
        <w:div w:id="897059637">
          <w:marLeft w:val="0"/>
          <w:marRight w:val="0"/>
          <w:marTop w:val="0"/>
          <w:marBottom w:val="0"/>
          <w:divBdr>
            <w:top w:val="none" w:sz="0" w:space="0" w:color="auto"/>
            <w:left w:val="none" w:sz="0" w:space="0" w:color="auto"/>
            <w:bottom w:val="none" w:sz="0" w:space="0" w:color="auto"/>
            <w:right w:val="none" w:sz="0" w:space="0" w:color="auto"/>
          </w:divBdr>
        </w:div>
        <w:div w:id="33311414">
          <w:marLeft w:val="0"/>
          <w:marRight w:val="0"/>
          <w:marTop w:val="0"/>
          <w:marBottom w:val="0"/>
          <w:divBdr>
            <w:top w:val="none" w:sz="0" w:space="0" w:color="auto"/>
            <w:left w:val="none" w:sz="0" w:space="0" w:color="auto"/>
            <w:bottom w:val="none" w:sz="0" w:space="0" w:color="auto"/>
            <w:right w:val="none" w:sz="0" w:space="0" w:color="auto"/>
          </w:divBdr>
        </w:div>
        <w:div w:id="1308784457">
          <w:marLeft w:val="0"/>
          <w:marRight w:val="0"/>
          <w:marTop w:val="0"/>
          <w:marBottom w:val="0"/>
          <w:divBdr>
            <w:top w:val="none" w:sz="0" w:space="0" w:color="auto"/>
            <w:left w:val="none" w:sz="0" w:space="0" w:color="auto"/>
            <w:bottom w:val="none" w:sz="0" w:space="0" w:color="auto"/>
            <w:right w:val="none" w:sz="0" w:space="0" w:color="auto"/>
          </w:divBdr>
        </w:div>
      </w:divsChild>
    </w:div>
    <w:div w:id="1708874015">
      <w:bodyDiv w:val="1"/>
      <w:marLeft w:val="0"/>
      <w:marRight w:val="0"/>
      <w:marTop w:val="0"/>
      <w:marBottom w:val="0"/>
      <w:divBdr>
        <w:top w:val="none" w:sz="0" w:space="0" w:color="auto"/>
        <w:left w:val="none" w:sz="0" w:space="0" w:color="auto"/>
        <w:bottom w:val="none" w:sz="0" w:space="0" w:color="auto"/>
        <w:right w:val="none" w:sz="0" w:space="0" w:color="auto"/>
      </w:divBdr>
    </w:div>
    <w:div w:id="1814986235">
      <w:bodyDiv w:val="1"/>
      <w:marLeft w:val="0"/>
      <w:marRight w:val="0"/>
      <w:marTop w:val="0"/>
      <w:marBottom w:val="0"/>
      <w:divBdr>
        <w:top w:val="none" w:sz="0" w:space="0" w:color="auto"/>
        <w:left w:val="none" w:sz="0" w:space="0" w:color="auto"/>
        <w:bottom w:val="none" w:sz="0" w:space="0" w:color="auto"/>
        <w:right w:val="none" w:sz="0" w:space="0" w:color="auto"/>
      </w:divBdr>
      <w:divsChild>
        <w:div w:id="1340892485">
          <w:marLeft w:val="0"/>
          <w:marRight w:val="0"/>
          <w:marTop w:val="0"/>
          <w:marBottom w:val="0"/>
          <w:divBdr>
            <w:top w:val="none" w:sz="0" w:space="0" w:color="auto"/>
            <w:left w:val="none" w:sz="0" w:space="0" w:color="auto"/>
            <w:bottom w:val="none" w:sz="0" w:space="0" w:color="auto"/>
            <w:right w:val="none" w:sz="0" w:space="0" w:color="auto"/>
          </w:divBdr>
        </w:div>
        <w:div w:id="741876959">
          <w:marLeft w:val="0"/>
          <w:marRight w:val="0"/>
          <w:marTop w:val="0"/>
          <w:marBottom w:val="0"/>
          <w:divBdr>
            <w:top w:val="none" w:sz="0" w:space="0" w:color="auto"/>
            <w:left w:val="none" w:sz="0" w:space="0" w:color="auto"/>
            <w:bottom w:val="none" w:sz="0" w:space="0" w:color="auto"/>
            <w:right w:val="none" w:sz="0" w:space="0" w:color="auto"/>
          </w:divBdr>
        </w:div>
        <w:div w:id="390733798">
          <w:marLeft w:val="0"/>
          <w:marRight w:val="0"/>
          <w:marTop w:val="0"/>
          <w:marBottom w:val="0"/>
          <w:divBdr>
            <w:top w:val="none" w:sz="0" w:space="0" w:color="auto"/>
            <w:left w:val="none" w:sz="0" w:space="0" w:color="auto"/>
            <w:bottom w:val="none" w:sz="0" w:space="0" w:color="auto"/>
            <w:right w:val="none" w:sz="0" w:space="0" w:color="auto"/>
          </w:divBdr>
        </w:div>
        <w:div w:id="1253591607">
          <w:marLeft w:val="0"/>
          <w:marRight w:val="0"/>
          <w:marTop w:val="0"/>
          <w:marBottom w:val="0"/>
          <w:divBdr>
            <w:top w:val="none" w:sz="0" w:space="0" w:color="auto"/>
            <w:left w:val="none" w:sz="0" w:space="0" w:color="auto"/>
            <w:bottom w:val="none" w:sz="0" w:space="0" w:color="auto"/>
            <w:right w:val="none" w:sz="0" w:space="0" w:color="auto"/>
          </w:divBdr>
        </w:div>
        <w:div w:id="725184135">
          <w:marLeft w:val="0"/>
          <w:marRight w:val="0"/>
          <w:marTop w:val="0"/>
          <w:marBottom w:val="0"/>
          <w:divBdr>
            <w:top w:val="none" w:sz="0" w:space="0" w:color="auto"/>
            <w:left w:val="none" w:sz="0" w:space="0" w:color="auto"/>
            <w:bottom w:val="none" w:sz="0" w:space="0" w:color="auto"/>
            <w:right w:val="none" w:sz="0" w:space="0" w:color="auto"/>
          </w:divBdr>
        </w:div>
      </w:divsChild>
    </w:div>
    <w:div w:id="1836992753">
      <w:bodyDiv w:val="1"/>
      <w:marLeft w:val="0"/>
      <w:marRight w:val="0"/>
      <w:marTop w:val="0"/>
      <w:marBottom w:val="0"/>
      <w:divBdr>
        <w:top w:val="none" w:sz="0" w:space="0" w:color="auto"/>
        <w:left w:val="none" w:sz="0" w:space="0" w:color="auto"/>
        <w:bottom w:val="none" w:sz="0" w:space="0" w:color="auto"/>
        <w:right w:val="none" w:sz="0" w:space="0" w:color="auto"/>
      </w:divBdr>
      <w:divsChild>
        <w:div w:id="1460144485">
          <w:marLeft w:val="0"/>
          <w:marRight w:val="0"/>
          <w:marTop w:val="0"/>
          <w:marBottom w:val="0"/>
          <w:divBdr>
            <w:top w:val="none" w:sz="0" w:space="0" w:color="auto"/>
            <w:left w:val="none" w:sz="0" w:space="0" w:color="auto"/>
            <w:bottom w:val="none" w:sz="0" w:space="0" w:color="auto"/>
            <w:right w:val="none" w:sz="0" w:space="0" w:color="auto"/>
          </w:divBdr>
        </w:div>
        <w:div w:id="1722711517">
          <w:marLeft w:val="0"/>
          <w:marRight w:val="0"/>
          <w:marTop w:val="0"/>
          <w:marBottom w:val="0"/>
          <w:divBdr>
            <w:top w:val="none" w:sz="0" w:space="0" w:color="auto"/>
            <w:left w:val="none" w:sz="0" w:space="0" w:color="auto"/>
            <w:bottom w:val="none" w:sz="0" w:space="0" w:color="auto"/>
            <w:right w:val="none" w:sz="0" w:space="0" w:color="auto"/>
          </w:divBdr>
        </w:div>
        <w:div w:id="792750196">
          <w:marLeft w:val="0"/>
          <w:marRight w:val="0"/>
          <w:marTop w:val="0"/>
          <w:marBottom w:val="0"/>
          <w:divBdr>
            <w:top w:val="none" w:sz="0" w:space="0" w:color="auto"/>
            <w:left w:val="none" w:sz="0" w:space="0" w:color="auto"/>
            <w:bottom w:val="none" w:sz="0" w:space="0" w:color="auto"/>
            <w:right w:val="none" w:sz="0" w:space="0" w:color="auto"/>
          </w:divBdr>
        </w:div>
        <w:div w:id="1653633537">
          <w:marLeft w:val="0"/>
          <w:marRight w:val="0"/>
          <w:marTop w:val="0"/>
          <w:marBottom w:val="0"/>
          <w:divBdr>
            <w:top w:val="none" w:sz="0" w:space="0" w:color="auto"/>
            <w:left w:val="none" w:sz="0" w:space="0" w:color="auto"/>
            <w:bottom w:val="none" w:sz="0" w:space="0" w:color="auto"/>
            <w:right w:val="none" w:sz="0" w:space="0" w:color="auto"/>
          </w:divBdr>
        </w:div>
        <w:div w:id="1147013883">
          <w:marLeft w:val="0"/>
          <w:marRight w:val="0"/>
          <w:marTop w:val="0"/>
          <w:marBottom w:val="0"/>
          <w:divBdr>
            <w:top w:val="none" w:sz="0" w:space="0" w:color="auto"/>
            <w:left w:val="none" w:sz="0" w:space="0" w:color="auto"/>
            <w:bottom w:val="none" w:sz="0" w:space="0" w:color="auto"/>
            <w:right w:val="none" w:sz="0" w:space="0" w:color="auto"/>
          </w:divBdr>
        </w:div>
        <w:div w:id="1275746856">
          <w:marLeft w:val="0"/>
          <w:marRight w:val="0"/>
          <w:marTop w:val="0"/>
          <w:marBottom w:val="0"/>
          <w:divBdr>
            <w:top w:val="none" w:sz="0" w:space="0" w:color="auto"/>
            <w:left w:val="none" w:sz="0" w:space="0" w:color="auto"/>
            <w:bottom w:val="none" w:sz="0" w:space="0" w:color="auto"/>
            <w:right w:val="none" w:sz="0" w:space="0" w:color="auto"/>
          </w:divBdr>
        </w:div>
        <w:div w:id="1531144668">
          <w:marLeft w:val="0"/>
          <w:marRight w:val="0"/>
          <w:marTop w:val="0"/>
          <w:marBottom w:val="0"/>
          <w:divBdr>
            <w:top w:val="none" w:sz="0" w:space="0" w:color="auto"/>
            <w:left w:val="none" w:sz="0" w:space="0" w:color="auto"/>
            <w:bottom w:val="none" w:sz="0" w:space="0" w:color="auto"/>
            <w:right w:val="none" w:sz="0" w:space="0" w:color="auto"/>
          </w:divBdr>
        </w:div>
        <w:div w:id="898520426">
          <w:marLeft w:val="0"/>
          <w:marRight w:val="0"/>
          <w:marTop w:val="0"/>
          <w:marBottom w:val="0"/>
          <w:divBdr>
            <w:top w:val="none" w:sz="0" w:space="0" w:color="auto"/>
            <w:left w:val="none" w:sz="0" w:space="0" w:color="auto"/>
            <w:bottom w:val="none" w:sz="0" w:space="0" w:color="auto"/>
            <w:right w:val="none" w:sz="0" w:space="0" w:color="auto"/>
          </w:divBdr>
        </w:div>
      </w:divsChild>
    </w:div>
    <w:div w:id="2141413546">
      <w:bodyDiv w:val="1"/>
      <w:marLeft w:val="0"/>
      <w:marRight w:val="0"/>
      <w:marTop w:val="0"/>
      <w:marBottom w:val="0"/>
      <w:divBdr>
        <w:top w:val="none" w:sz="0" w:space="0" w:color="auto"/>
        <w:left w:val="none" w:sz="0" w:space="0" w:color="auto"/>
        <w:bottom w:val="none" w:sz="0" w:space="0" w:color="auto"/>
        <w:right w:val="none" w:sz="0" w:space="0" w:color="auto"/>
      </w:divBdr>
      <w:divsChild>
        <w:div w:id="882327772">
          <w:marLeft w:val="533"/>
          <w:marRight w:val="0"/>
          <w:marTop w:val="0"/>
          <w:marBottom w:val="0"/>
          <w:divBdr>
            <w:top w:val="none" w:sz="0" w:space="0" w:color="auto"/>
            <w:left w:val="none" w:sz="0" w:space="0" w:color="auto"/>
            <w:bottom w:val="none" w:sz="0" w:space="0" w:color="auto"/>
            <w:right w:val="none" w:sz="0" w:space="0" w:color="auto"/>
          </w:divBdr>
        </w:div>
        <w:div w:id="970287465">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asp.org/sites/default/files/publications/2017/12/2017_EquityStartsEarly_0.pdf" TargetMode="External"/><Relationship Id="rId18" Type="http://schemas.openxmlformats.org/officeDocument/2006/relationships/hyperlink" Target="http://ectacenter.org/decrp/topic-environment.asp" TargetMode="External"/><Relationship Id="rId26" Type="http://schemas.openxmlformats.org/officeDocument/2006/relationships/hyperlink" Target="http://www2.ed.gov/about/inits/ed/earlylearning/families.html" TargetMode="External"/><Relationship Id="rId39" Type="http://schemas.openxmlformats.org/officeDocument/2006/relationships/hyperlink" Target="http://www.researchconnections.org/childcare/resources/30185/pdf" TargetMode="External"/><Relationship Id="rId3" Type="http://schemas.openxmlformats.org/officeDocument/2006/relationships/settings" Target="settings.xml"/><Relationship Id="rId21" Type="http://schemas.openxmlformats.org/officeDocument/2006/relationships/hyperlink" Target="http://www2.ed.gov/about/inits/ed/earlylearning/families.html" TargetMode="External"/><Relationship Id="rId34" Type="http://schemas.openxmlformats.org/officeDocument/2006/relationships/hyperlink" Target="https://www.clasp.org/sites/default/files/publications/2017/12/2017_EquityStartsEarly_0.pdf" TargetMode="External"/><Relationship Id="rId42" Type="http://schemas.openxmlformats.org/officeDocument/2006/relationships/hyperlink" Target="https://www.acf.hhs.gov/sites/default/files/opre/collaborations_brief.pdf" TargetMode="External"/><Relationship Id="rId47" Type="http://schemas.openxmlformats.org/officeDocument/2006/relationships/hyperlink" Target="http://www2.ed.gov/policy/gen/guid/school-discipline/policy-statement-ece-expulsions-suspensions.pdf" TargetMode="External"/><Relationship Id="rId50" Type="http://schemas.openxmlformats.org/officeDocument/2006/relationships/hyperlink" Target="https://www.nasmhpd.org/sites/default/files/TAC.Paper_.5.Quantitative_Benefits_TraumaInformedCare_Final.pdf" TargetMode="External"/><Relationship Id="rId7" Type="http://schemas.openxmlformats.org/officeDocument/2006/relationships/hyperlink" Target="http://csefel.vanderbilt.edu/modules/module1/presenters-ppt/Module1.zip" TargetMode="External"/><Relationship Id="rId12" Type="http://schemas.openxmlformats.org/officeDocument/2006/relationships/hyperlink" Target="http://www.playengland.org.uk/media/120519/play-for-a-change-summary.pdf" TargetMode="External"/><Relationship Id="rId17" Type="http://schemas.openxmlformats.org/officeDocument/2006/relationships/hyperlink" Target="http://www.naeyc.org/files/naeyc/file/positions/WWSEnglishLanguageLearnersWeb.pdf" TargetMode="External"/><Relationship Id="rId25" Type="http://schemas.openxmlformats.org/officeDocument/2006/relationships/hyperlink" Target="http://www.buildinitiative.org/Portals/0/Uploads/Documents/Family%20Engagement%20Halgunseth.pdf" TargetMode="External"/><Relationship Id="rId33" Type="http://schemas.openxmlformats.org/officeDocument/2006/relationships/hyperlink" Target="http://www.ccsso.org/sites/default/files/2018-02/States%20Leading%20for%20Equity%20Online.pdf" TargetMode="External"/><Relationship Id="rId38" Type="http://schemas.openxmlformats.org/officeDocument/2006/relationships/hyperlink" Target="https://www.naeyc.org/resources/pubs/yc/nov2017/rocking-and-rolling" TargetMode="External"/><Relationship Id="rId46" Type="http://schemas.openxmlformats.org/officeDocument/2006/relationships/hyperlink" Target="https://www2.ed.gov/about/inits/ed/earlylearning/files/ece-low-compensation-undermines-quality-report-2016.pdf" TargetMode="External"/><Relationship Id="rId2" Type="http://schemas.openxmlformats.org/officeDocument/2006/relationships/styles" Target="styles.xml"/><Relationship Id="rId16" Type="http://schemas.openxmlformats.org/officeDocument/2006/relationships/hyperlink" Target="http://cscce.berkeley.edu/preparing-teachers-of-young-children-the-current-state-of-knowledge-and-a-blueprint-for-the-future/" TargetMode="External"/><Relationship Id="rId20" Type="http://schemas.openxmlformats.org/officeDocument/2006/relationships/hyperlink" Target="https://www.utoledo.edu/education/grants/partnerproject/focus/docs/Parent%20and%20Professional%20Collaboration%20Research%20Brief%20-%20Final.pdf" TargetMode="External"/><Relationship Id="rId29" Type="http://schemas.openxmlformats.org/officeDocument/2006/relationships/hyperlink" Target="https://npdci.fpg.unc.edu/resources/articles/Early_Childhood_Inclusion/" TargetMode="External"/><Relationship Id="rId41" Type="http://schemas.openxmlformats.org/officeDocument/2006/relationships/hyperlink" Target="https://www.clasp.org/sites/default/files/publications/2017/12/2017_EquityStartsEarly_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nterforchildhoodcreativity.org/wp-content/uploads/sites/2/2018/02/CCC_The_Roots_of_STEM_Early_Learning.pdf" TargetMode="External"/><Relationship Id="rId24" Type="http://schemas.openxmlformats.org/officeDocument/2006/relationships/hyperlink" Target="http://relpacific.mcrel.org/wp-content/uploads/2016/03/Part-3_Jan2015.pdf" TargetMode="External"/><Relationship Id="rId32" Type="http://schemas.openxmlformats.org/officeDocument/2006/relationships/hyperlink" Target="http://www2.ed.gov/about/inits/ed/earlylearning/files/policy-statement-on-family-engagement.pdf" TargetMode="External"/><Relationship Id="rId37" Type="http://schemas.openxmlformats.org/officeDocument/2006/relationships/hyperlink" Target="https://www.naeyc.org/resources/pubs/yc/may2015/building-anti-bias-programs" TargetMode="External"/><Relationship Id="rId40" Type="http://schemas.openxmlformats.org/officeDocument/2006/relationships/hyperlink" Target="https://www.decdocs.org/position-statement-family-culture" TargetMode="External"/><Relationship Id="rId45" Type="http://schemas.openxmlformats.org/officeDocument/2006/relationships/hyperlink" Target="https://files.eric.ed.gov/fulltext/ED520769.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csso.org/sites/default/files/2018-02/States%20Leading%20for%20Equity%20Online.pdf" TargetMode="External"/><Relationship Id="rId23" Type="http://schemas.openxmlformats.org/officeDocument/2006/relationships/hyperlink" Target="https://files.eric.ed.gov/fulltext/ED523994.pdf" TargetMode="External"/><Relationship Id="rId28" Type="http://schemas.openxmlformats.org/officeDocument/2006/relationships/hyperlink" Target="http://ectacenter.org/decrp/topic-family.asp" TargetMode="External"/><Relationship Id="rId36" Type="http://schemas.openxmlformats.org/officeDocument/2006/relationships/hyperlink" Target="http://kirwaninstitute.osu.edu/wp-content/uploads/2015/06/implicit-bias-strategies.pdf" TargetMode="External"/><Relationship Id="rId49" Type="http://schemas.openxmlformats.org/officeDocument/2006/relationships/hyperlink" Target="http://www.dec-sped.org/dec-recommended-practices" TargetMode="External"/><Relationship Id="rId10" Type="http://schemas.openxmlformats.org/officeDocument/2006/relationships/hyperlink" Target="http://pediatrics.aappublications.org/content/pediatrics/119/1/182.full.pdf" TargetMode="External"/><Relationship Id="rId19" Type="http://schemas.openxmlformats.org/officeDocument/2006/relationships/hyperlink" Target="http://www.wested.org/online_pubs/cpei/family-engagement-framework.pdf" TargetMode="External"/><Relationship Id="rId31" Type="http://schemas.openxmlformats.org/officeDocument/2006/relationships/hyperlink" Target="http://www2.ed.gov/about/inits/ed/earlylearning/families.html" TargetMode="External"/><Relationship Id="rId44" Type="http://schemas.openxmlformats.org/officeDocument/2006/relationships/hyperlink" Target="https://epaa.asu.edu/ojs/article/viewFile/392/515"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se.harvard.edu/news/uk/08/05/relationships-and-learning" TargetMode="External"/><Relationship Id="rId14" Type="http://schemas.openxmlformats.org/officeDocument/2006/relationships/hyperlink" Target="http://www.ncsl.org/Portals/1/Documents/educ/SPREE_FinalReport_011718.pdf" TargetMode="External"/><Relationship Id="rId22" Type="http://schemas.openxmlformats.org/officeDocument/2006/relationships/hyperlink" Target="http://www2.ed.gov/about/inits/ed/earlylearning/files/policy-statement-on-family-engagement.pdf" TargetMode="External"/><Relationship Id="rId27" Type="http://schemas.openxmlformats.org/officeDocument/2006/relationships/hyperlink" Target="http://www2.ed.gov/about/inits/ed/earlylearning/files/policy-statement-on-family-engagement.pdf" TargetMode="External"/><Relationship Id="rId30" Type="http://schemas.openxmlformats.org/officeDocument/2006/relationships/hyperlink" Target="http://www.sedl.org/pubs/catalog/items/fam33.html" TargetMode="External"/><Relationship Id="rId35" Type="http://schemas.openxmlformats.org/officeDocument/2006/relationships/hyperlink" Target="http://yec.sagepub.com/content/16/1/3.full.pdf+html" TargetMode="External"/><Relationship Id="rId43" Type="http://schemas.openxmlformats.org/officeDocument/2006/relationships/hyperlink" Target="https://drum.lib.umd.edu/bitstream/handle/1903/1495/umi-umd-1452.pdf;jsessionid=B1B1F4740ADAD5ECA8E257E100441E8A?sequence=1" TargetMode="External"/><Relationship Id="rId48" Type="http://schemas.openxmlformats.org/officeDocument/2006/relationships/hyperlink" Target="https://www.acf.hhs.gov/sites/default/files/ecd/dll_policy_statement_final.pdf" TargetMode="External"/><Relationship Id="rId8" Type="http://schemas.openxmlformats.org/officeDocument/2006/relationships/hyperlink" Target="http://dx.doi.org/10.1111/cdev.12832"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3590</Words>
  <Characters>20465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Catlett</dc:creator>
  <cp:keywords/>
  <dc:description/>
  <cp:lastModifiedBy>Catlett, Camille</cp:lastModifiedBy>
  <cp:revision>2</cp:revision>
  <cp:lastPrinted>2019-01-08T16:52:00Z</cp:lastPrinted>
  <dcterms:created xsi:type="dcterms:W3CDTF">2019-01-09T02:27:00Z</dcterms:created>
  <dcterms:modified xsi:type="dcterms:W3CDTF">2019-01-09T02:27:00Z</dcterms:modified>
</cp:coreProperties>
</file>