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1938A039" wp14:editId="2C676EF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5">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1718E5C8" wp14:editId="3133DA49">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8E5C8"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2D49F7F0" wp14:editId="09B98EBA">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295D0F">
              <w:rPr>
                <w:b/>
                <w:noProof/>
                <w:color w:val="006600"/>
              </w:rPr>
              <w:t xml:space="preserve">Issue No. </w:t>
            </w:r>
            <w:r w:rsidR="00B94410">
              <w:rPr>
                <w:b/>
                <w:noProof/>
                <w:color w:val="006600"/>
              </w:rPr>
              <w:t>5</w:t>
            </w:r>
            <w:r w:rsidRPr="00295D0F">
              <w:rPr>
                <w:b/>
                <w:noProof/>
                <w:color w:val="006600"/>
              </w:rPr>
              <w:t xml:space="preserve"> </w:t>
            </w:r>
            <w:r w:rsidR="000D7358">
              <w:rPr>
                <w:b/>
                <w:noProof/>
                <w:color w:val="006600"/>
              </w:rPr>
              <w:t>Febr</w:t>
            </w:r>
            <w:r w:rsidR="00B94410">
              <w:rPr>
                <w:b/>
                <w:noProof/>
                <w:color w:val="006600"/>
              </w:rPr>
              <w:t>uary 2017</w:t>
            </w:r>
            <w:r w:rsidRPr="00295D0F">
              <w:rPr>
                <w:b/>
                <w:noProof/>
                <w:color w:val="006600"/>
              </w:rPr>
              <w:t xml:space="preserve">  </w:t>
            </w:r>
          </w:p>
          <w:p w:rsidR="00496932" w:rsidRPr="00D14F4E" w:rsidRDefault="00496932" w:rsidP="00353808">
            <w:pPr>
              <w:rPr>
                <w:b/>
                <w:noProof/>
                <w:color w:val="538135" w:themeColor="accent6" w:themeShade="BF"/>
                <w:sz w:val="4"/>
              </w:rPr>
            </w:pPr>
          </w:p>
          <w:p w:rsidR="002D311F" w:rsidRPr="00295D0F" w:rsidRDefault="00295D0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rPr>
            </w:pPr>
            <w:r>
              <w:rPr>
                <w:b/>
                <w:noProof/>
                <w:color w:val="006600"/>
              </w:rPr>
              <w:t xml:space="preserve">Featured Domain </w:t>
            </w:r>
            <w:r w:rsidR="005F45A5" w:rsidRPr="00295D0F">
              <w:rPr>
                <w:b/>
                <w:noProof/>
                <w:color w:val="006600"/>
              </w:rPr>
              <w:t>of the Vermont Early Learning Standards</w:t>
            </w:r>
            <w:r w:rsidR="00463D29">
              <w:rPr>
                <w:b/>
                <w:noProof/>
                <w:color w:val="006600"/>
              </w:rPr>
              <w:t xml:space="preserve"> (VELS)</w:t>
            </w:r>
            <w:r w:rsidR="00353808" w:rsidRPr="00295D0F">
              <w:rPr>
                <w:b/>
                <w:noProof/>
                <w:color w:val="006600"/>
              </w:rPr>
              <w:t xml:space="preserve"> </w:t>
            </w:r>
          </w:p>
          <w:p w:rsidR="00E91C77" w:rsidRPr="006B4D57" w:rsidRDefault="002D311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538135" w:themeColor="accent6" w:themeShade="BF"/>
              </w:rPr>
            </w:pPr>
            <w:r w:rsidRPr="00295D0F">
              <w:rPr>
                <w:b/>
                <w:noProof/>
                <w:color w:val="006600"/>
              </w:rPr>
              <w:tab/>
            </w:r>
            <w:r w:rsidR="00B22886">
              <w:rPr>
                <w:rFonts w:ascii="Arial Black" w:hAnsi="Arial Black"/>
                <w:b/>
                <w:noProof/>
                <w:color w:val="006600"/>
                <w:sz w:val="22"/>
              </w:rPr>
              <w:t>Social and Emotional Learning and Development: Challenging Behavior</w:t>
            </w:r>
            <w:r w:rsidR="00353808" w:rsidRPr="006B4D57">
              <w:rPr>
                <w:b/>
                <w:noProof/>
                <w:color w:val="538135" w:themeColor="accent6" w:themeShade="BF"/>
              </w:rPr>
              <w:tab/>
            </w:r>
            <w:r w:rsidR="00E91C77" w:rsidRPr="006B4D57">
              <w:rPr>
                <w:b/>
                <w:noProof/>
                <w:color w:val="538135" w:themeColor="accent6" w:themeShade="BF"/>
              </w:rPr>
              <w:t xml:space="preserve"> </w:t>
            </w:r>
          </w:p>
          <w:p w:rsidR="00496932" w:rsidRPr="0079797E" w:rsidRDefault="00496932"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
                <w:bCs/>
                <w:color w:val="444444"/>
                <w:sz w:val="8"/>
                <w:szCs w:val="8"/>
              </w:rPr>
            </w:pPr>
          </w:p>
          <w:p w:rsidR="00496932" w:rsidRPr="00D14F4E" w:rsidRDefault="00B22886"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sidRPr="00D14F4E">
              <w:rPr>
                <w:rFonts w:asciiTheme="minorHAnsi" w:eastAsia="Times New Roman" w:hAnsiTheme="minorHAnsi" w:cs="Arial"/>
                <w:bCs/>
                <w:i/>
                <w:color w:val="444444"/>
                <w:sz w:val="22"/>
                <w:szCs w:val="24"/>
              </w:rPr>
              <w:t>A solid understanding</w:t>
            </w:r>
            <w:r w:rsidR="00694884" w:rsidRPr="00D14F4E">
              <w:rPr>
                <w:rFonts w:asciiTheme="minorHAnsi" w:eastAsia="Times New Roman" w:hAnsiTheme="minorHAnsi" w:cs="Arial"/>
                <w:bCs/>
                <w:i/>
                <w:color w:val="444444"/>
                <w:sz w:val="22"/>
                <w:szCs w:val="24"/>
              </w:rPr>
              <w:t xml:space="preserve"> </w:t>
            </w:r>
            <w:r w:rsidRPr="00D14F4E">
              <w:rPr>
                <w:rFonts w:asciiTheme="minorHAnsi" w:eastAsia="Times New Roman" w:hAnsiTheme="minorHAnsi" w:cs="Arial"/>
                <w:bCs/>
                <w:i/>
                <w:color w:val="444444"/>
                <w:sz w:val="22"/>
                <w:szCs w:val="24"/>
              </w:rPr>
              <w:t xml:space="preserve">of the components of social </w:t>
            </w:r>
            <w:r w:rsidR="001F6EC0" w:rsidRPr="00D14F4E">
              <w:rPr>
                <w:rFonts w:asciiTheme="minorHAnsi" w:eastAsia="Times New Roman" w:hAnsiTheme="minorHAnsi" w:cs="Arial"/>
                <w:bCs/>
                <w:i/>
                <w:color w:val="444444"/>
                <w:sz w:val="22"/>
                <w:szCs w:val="24"/>
              </w:rPr>
              <w:t>and emotional development – emotions and self-regulation, self-awareness, and relationships with adults and peers – are essential for supporting young children who may demonstrate challenging behavior</w:t>
            </w:r>
            <w:r w:rsidR="00694884" w:rsidRPr="00D14F4E">
              <w:rPr>
                <w:rFonts w:asciiTheme="minorHAnsi" w:eastAsia="Times New Roman" w:hAnsiTheme="minorHAnsi" w:cs="Arial"/>
                <w:bCs/>
                <w:i/>
                <w:color w:val="444444"/>
                <w:sz w:val="22"/>
                <w:szCs w:val="24"/>
              </w:rPr>
              <w:t xml:space="preserve">. </w:t>
            </w:r>
            <w:r w:rsidR="001F6EC0" w:rsidRPr="00D14F4E">
              <w:rPr>
                <w:rFonts w:asciiTheme="minorHAnsi" w:eastAsia="Times New Roman" w:hAnsiTheme="minorHAnsi" w:cs="Arial"/>
                <w:bCs/>
                <w:i/>
                <w:color w:val="444444"/>
                <w:sz w:val="22"/>
                <w:szCs w:val="24"/>
              </w:rPr>
              <w:t>Learn more below and</w:t>
            </w:r>
            <w:r w:rsidR="00694884" w:rsidRPr="00D14F4E">
              <w:rPr>
                <w:rFonts w:asciiTheme="minorHAnsi" w:eastAsia="Times New Roman" w:hAnsiTheme="minorHAnsi" w:cs="Arial"/>
                <w:bCs/>
                <w:i/>
                <w:color w:val="444444"/>
                <w:sz w:val="22"/>
                <w:szCs w:val="24"/>
              </w:rPr>
              <w:t xml:space="preserve"> on page </w:t>
            </w:r>
            <w:r w:rsidR="001F6EC0" w:rsidRPr="00D14F4E">
              <w:rPr>
                <w:rFonts w:asciiTheme="minorHAnsi" w:eastAsia="Times New Roman" w:hAnsiTheme="minorHAnsi" w:cs="Arial"/>
                <w:bCs/>
                <w:i/>
                <w:color w:val="444444"/>
                <w:sz w:val="22"/>
                <w:szCs w:val="24"/>
              </w:rPr>
              <w:t>30 of the VELS.</w:t>
            </w:r>
          </w:p>
          <w:p w:rsidR="00C916BA" w:rsidRPr="00C916BA" w:rsidRDefault="00C916BA" w:rsidP="00C916BA">
            <w:pPr>
              <w:autoSpaceDE w:val="0"/>
              <w:autoSpaceDN w:val="0"/>
              <w:adjustRightInd w:val="0"/>
              <w:rPr>
                <w:rFonts w:eastAsia="Times New Roman" w:cs="Tahoma"/>
                <w:b/>
                <w:bCs/>
                <w:color w:val="538135" w:themeColor="accent6" w:themeShade="BF"/>
                <w:szCs w:val="24"/>
              </w:rPr>
            </w:pPr>
            <w:r w:rsidRPr="00C916BA">
              <w:rPr>
                <w:rFonts w:eastAsia="Times New Roman" w:cs="Tahoma"/>
                <w:b/>
                <w:bCs/>
                <w:color w:val="538135" w:themeColor="accent6" w:themeShade="BF"/>
                <w:szCs w:val="24"/>
              </w:rPr>
              <w:t>Vermont Early Multi-Tiered System of Supports (V</w:t>
            </w:r>
            <w:r>
              <w:rPr>
                <w:rFonts w:eastAsia="Times New Roman" w:cs="Tahoma"/>
                <w:b/>
                <w:bCs/>
                <w:color w:val="538135" w:themeColor="accent6" w:themeShade="BF"/>
                <w:szCs w:val="24"/>
              </w:rPr>
              <w:t>T</w:t>
            </w:r>
            <w:r w:rsidRPr="00C916BA">
              <w:rPr>
                <w:rFonts w:eastAsia="Times New Roman" w:cs="Tahoma"/>
                <w:b/>
                <w:bCs/>
                <w:color w:val="538135" w:themeColor="accent6" w:themeShade="BF"/>
                <w:szCs w:val="24"/>
              </w:rPr>
              <w:t xml:space="preserve"> Early MTSS) (birth – </w:t>
            </w:r>
            <w:r>
              <w:rPr>
                <w:rFonts w:eastAsia="Times New Roman" w:cs="Tahoma"/>
                <w:b/>
                <w:bCs/>
                <w:color w:val="538135" w:themeColor="accent6" w:themeShade="BF"/>
                <w:szCs w:val="24"/>
              </w:rPr>
              <w:t>8</w:t>
            </w:r>
            <w:r w:rsidRPr="00C916BA">
              <w:rPr>
                <w:rFonts w:eastAsia="Times New Roman" w:cs="Tahoma"/>
                <w:b/>
                <w:bCs/>
                <w:color w:val="538135" w:themeColor="accent6" w:themeShade="BF"/>
                <w:szCs w:val="24"/>
              </w:rPr>
              <w:t>)</w:t>
            </w:r>
          </w:p>
          <w:p w:rsidR="00C916BA" w:rsidRPr="00C916BA" w:rsidRDefault="00C916BA" w:rsidP="00C916BA">
            <w:pPr>
              <w:outlineLvl w:val="0"/>
              <w:rPr>
                <w:rFonts w:eastAsiaTheme="minorHAnsi" w:cs="Calibri"/>
                <w:b/>
                <w:color w:val="000000"/>
                <w:sz w:val="20"/>
              </w:rPr>
            </w:pPr>
            <w:r w:rsidRPr="00C916BA">
              <w:rPr>
                <w:rFonts w:eastAsiaTheme="minorHAnsi" w:cs="Calibri"/>
                <w:i/>
                <w:color w:val="000000"/>
                <w:sz w:val="20"/>
              </w:rPr>
              <w:t>A</w:t>
            </w:r>
            <w:r w:rsidR="00D14F4E">
              <w:rPr>
                <w:rFonts w:eastAsiaTheme="minorHAnsi" w:cs="Calibri"/>
                <w:i/>
                <w:color w:val="000000"/>
                <w:sz w:val="20"/>
              </w:rPr>
              <w:t>n evidence-based,</w:t>
            </w:r>
            <w:r w:rsidRPr="00C916BA">
              <w:rPr>
                <w:rFonts w:eastAsiaTheme="minorHAnsi" w:cs="Calibri"/>
                <w:i/>
                <w:color w:val="000000"/>
                <w:sz w:val="20"/>
              </w:rPr>
              <w:t xml:space="preserve"> tiered framework of universal promotion, prevention and intervention is the model Vermont is using for delivering a comprehensive range of evidence based practices, strategies and resources to families and early childhood practitioners with the goal of improving early learning, social and emotional well-being and competence for Vermont’s young children birth thru age 8. </w:t>
            </w:r>
            <w:r w:rsidR="00D14F4E">
              <w:rPr>
                <w:rFonts w:eastAsiaTheme="minorHAnsi" w:cs="Calibri"/>
                <w:i/>
                <w:color w:val="000000"/>
                <w:sz w:val="20"/>
              </w:rPr>
              <w:t xml:space="preserve">Multi-tiered systems of support are effective mechanisms for building quality in environments and interactions (effective ways to reduce the possibility of challenging behavior) and for incorporating supports for when challenging behavior does occur. </w:t>
            </w:r>
            <w:r>
              <w:rPr>
                <w:rFonts w:eastAsiaTheme="minorHAnsi" w:cs="Calibri"/>
                <w:i/>
                <w:color w:val="000000"/>
                <w:sz w:val="20"/>
              </w:rPr>
              <w:t xml:space="preserve">To get an introduction to Vermont’s Early MTSS, watch this video </w:t>
            </w:r>
            <w:r>
              <w:rPr>
                <w:rFonts w:eastAsiaTheme="minorHAnsi" w:cs="Calibri"/>
                <w:color w:val="000000"/>
                <w:sz w:val="20"/>
              </w:rPr>
              <w:t>(</w:t>
            </w:r>
            <w:hyperlink r:id="rId7" w:history="1">
              <w:r w:rsidRPr="00C916BA">
                <w:rPr>
                  <w:rStyle w:val="Hyperlink"/>
                  <w:b/>
                  <w:sz w:val="20"/>
                  <w:u w:val="none"/>
                </w:rPr>
                <w:t>https://vimeo.com/114577075</w:t>
              </w:r>
            </w:hyperlink>
            <w:r w:rsidRPr="00C916BA">
              <w:rPr>
                <w:rStyle w:val="Hyperlink"/>
                <w:color w:val="auto"/>
                <w:sz w:val="20"/>
                <w:u w:val="none"/>
              </w:rPr>
              <w:t>)</w:t>
            </w:r>
            <w:r>
              <w:rPr>
                <w:rStyle w:val="Hyperlink"/>
                <w:b/>
                <w:sz w:val="20"/>
                <w:u w:val="none"/>
              </w:rPr>
              <w:t xml:space="preserve">.  </w:t>
            </w:r>
            <w:r>
              <w:rPr>
                <w:rFonts w:eastAsiaTheme="minorHAnsi" w:cs="Calibri"/>
                <w:i/>
                <w:color w:val="000000"/>
                <w:sz w:val="20"/>
              </w:rPr>
              <w:t>To learn more about</w:t>
            </w:r>
            <w:r w:rsidRPr="00C916BA">
              <w:rPr>
                <w:rFonts w:eastAsiaTheme="minorHAnsi" w:cs="Calibri"/>
                <w:i/>
                <w:color w:val="000000"/>
                <w:sz w:val="20"/>
              </w:rPr>
              <w:t xml:space="preserve"> how </w:t>
            </w:r>
            <w:r>
              <w:rPr>
                <w:rFonts w:eastAsiaTheme="minorHAnsi" w:cs="Calibri"/>
                <w:i/>
                <w:color w:val="000000"/>
                <w:sz w:val="20"/>
              </w:rPr>
              <w:t xml:space="preserve">Vermont Early MTSS is organized to support regional early childhood leaders and professionals, go to </w:t>
            </w:r>
            <w:hyperlink r:id="rId8" w:history="1">
              <w:r w:rsidRPr="00C916BA">
                <w:rPr>
                  <w:rStyle w:val="Hyperlink"/>
                  <w:rFonts w:cs="Calibri"/>
                  <w:b/>
                  <w:sz w:val="20"/>
                  <w:u w:val="none"/>
                </w:rPr>
                <w:t>http://ectacenter.org/~pdfs/topics/inclusion/VT_EC_MTSS_One_Pager_SPDG_and_RTT-ELC.pdf</w:t>
              </w:r>
            </w:hyperlink>
          </w:p>
          <w:p w:rsidR="00496932" w:rsidRPr="00C916BA" w:rsidRDefault="00496932" w:rsidP="00C916BA">
            <w:pPr>
              <w:outlineLvl w:val="0"/>
              <w:rPr>
                <w:rFonts w:eastAsia="Times New Roman" w:cs="Arial"/>
                <w:b/>
                <w:bCs/>
                <w:color w:val="444444"/>
                <w:sz w:val="16"/>
                <w:szCs w:val="8"/>
              </w:rPr>
            </w:pPr>
          </w:p>
          <w:p w:rsidR="00734BEC" w:rsidRPr="00964BE0" w:rsidRDefault="00950D0C" w:rsidP="00734BEC">
            <w:pPr>
              <w:contextualSpacing/>
              <w:rPr>
                <w:rFonts w:eastAsia="Times New Roman"/>
                <w:b/>
                <w:sz w:val="20"/>
                <w:szCs w:val="24"/>
              </w:rPr>
            </w:pPr>
            <w:r w:rsidRPr="005A4677">
              <w:rPr>
                <w:rFonts w:eastAsia="Times New Roman" w:cs="Tahoma"/>
                <w:b/>
                <w:bCs/>
                <w:color w:val="538135" w:themeColor="accent6" w:themeShade="BF"/>
                <w:szCs w:val="24"/>
              </w:rPr>
              <w:t xml:space="preserve">Family Routine-Based Support Guide: </w:t>
            </w:r>
            <w:r w:rsidR="00734BEC" w:rsidRPr="00964BE0">
              <w:rPr>
                <w:rFonts w:eastAsia="Times New Roman" w:cs="Tahoma"/>
                <w:b/>
                <w:bCs/>
                <w:color w:val="538135" w:themeColor="accent6" w:themeShade="BF"/>
                <w:szCs w:val="24"/>
              </w:rPr>
              <w:t>Building Relationships with Infants (</w:t>
            </w:r>
            <w:r w:rsidR="00CF0C45">
              <w:rPr>
                <w:rFonts w:eastAsia="Times New Roman" w:cs="Tahoma"/>
                <w:b/>
                <w:bCs/>
                <w:color w:val="538135" w:themeColor="accent6" w:themeShade="BF"/>
                <w:szCs w:val="24"/>
              </w:rPr>
              <w:t>birth</w:t>
            </w:r>
            <w:r w:rsidR="00734BEC" w:rsidRPr="00964BE0">
              <w:rPr>
                <w:rFonts w:eastAsia="Times New Roman" w:cs="Tahoma"/>
                <w:b/>
                <w:bCs/>
                <w:color w:val="538135" w:themeColor="accent6" w:themeShade="BF"/>
                <w:szCs w:val="24"/>
              </w:rPr>
              <w:t xml:space="preserve">-3) </w:t>
            </w:r>
            <w:hyperlink r:id="rId9" w:history="1">
              <w:r w:rsidR="00734BEC" w:rsidRPr="00964BE0">
                <w:rPr>
                  <w:rFonts w:eastAsia="Times New Roman"/>
                  <w:b/>
                  <w:color w:val="0563C1"/>
                  <w:sz w:val="20"/>
                  <w:szCs w:val="24"/>
                </w:rPr>
                <w:t>http://challengingbehavior.fmhi.usf.edu/do/resources/documents/tool_fam_routine_guide_infants.pdf</w:t>
              </w:r>
            </w:hyperlink>
          </w:p>
          <w:p w:rsidR="00C464C7" w:rsidRDefault="00950D0C" w:rsidP="00950D0C">
            <w:pPr>
              <w:rPr>
                <w:i/>
                <w:sz w:val="20"/>
                <w:szCs w:val="23"/>
              </w:rPr>
            </w:pPr>
            <w:r w:rsidRPr="005A4677">
              <w:rPr>
                <w:i/>
                <w:sz w:val="20"/>
                <w:szCs w:val="23"/>
              </w:rPr>
              <w:t xml:space="preserve">This </w:t>
            </w:r>
            <w:r w:rsidRPr="005A4677">
              <w:rPr>
                <w:i/>
                <w:iCs/>
                <w:sz w:val="20"/>
                <w:szCs w:val="23"/>
              </w:rPr>
              <w:t xml:space="preserve">guide </w:t>
            </w:r>
            <w:r w:rsidRPr="005A4677">
              <w:rPr>
                <w:i/>
                <w:sz w:val="20"/>
                <w:szCs w:val="23"/>
              </w:rPr>
              <w:t xml:space="preserve">was developed to assist family members and caregivers in developing plans to support and build relationships with older infants and toddlers who are using challenging behavior. Challenging behavior, typically, communicates a need to escape or avoid a person/activity or communicates a desire to obtain someone/something. Once </w:t>
            </w:r>
            <w:r w:rsidR="005A4677">
              <w:rPr>
                <w:i/>
                <w:sz w:val="20"/>
                <w:szCs w:val="23"/>
              </w:rPr>
              <w:t>family members and caregivers</w:t>
            </w:r>
            <w:r w:rsidRPr="005A4677">
              <w:rPr>
                <w:i/>
                <w:sz w:val="20"/>
                <w:szCs w:val="23"/>
              </w:rPr>
              <w:t xml:space="preserve"> understand the purpose or meaning of the behavior, they can begin to select prevention strategies, teach</w:t>
            </w:r>
            <w:r w:rsidR="005A4677">
              <w:rPr>
                <w:i/>
                <w:sz w:val="20"/>
                <w:szCs w:val="23"/>
              </w:rPr>
              <w:t xml:space="preserve"> new skills, and change</w:t>
            </w:r>
            <w:r w:rsidRPr="005A4677">
              <w:rPr>
                <w:i/>
                <w:sz w:val="20"/>
                <w:szCs w:val="23"/>
              </w:rPr>
              <w:t xml:space="preserve"> the way they respond in an effort to eliminate or minimize the challenging behavior.</w:t>
            </w:r>
            <w:r w:rsidR="005A4677">
              <w:rPr>
                <w:i/>
                <w:sz w:val="20"/>
                <w:szCs w:val="23"/>
              </w:rPr>
              <w:t xml:space="preserve"> This guide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rsidR="005A4677" w:rsidRPr="00D14F4E" w:rsidRDefault="005A4677" w:rsidP="00950D0C">
            <w:pPr>
              <w:rPr>
                <w:sz w:val="16"/>
                <w:szCs w:val="23"/>
              </w:rPr>
            </w:pPr>
          </w:p>
          <w:p w:rsidR="00C464C7" w:rsidRPr="00C464C7" w:rsidRDefault="00C464C7" w:rsidP="00C464C7">
            <w:pPr>
              <w:ind w:left="288" w:hanging="288"/>
              <w:rPr>
                <w:b/>
                <w:color w:val="006600"/>
              </w:rPr>
            </w:pPr>
            <w:r w:rsidRPr="00C464C7">
              <w:rPr>
                <w:b/>
                <w:color w:val="006600"/>
              </w:rPr>
              <w:t>Identification of and Intervention with Challenging Behavior (</w:t>
            </w:r>
            <w:r w:rsidR="00CF0C45">
              <w:rPr>
                <w:b/>
                <w:color w:val="006600"/>
              </w:rPr>
              <w:t>birth</w:t>
            </w:r>
            <w:r w:rsidRPr="00C464C7">
              <w:rPr>
                <w:b/>
                <w:color w:val="006600"/>
              </w:rPr>
              <w:t>-5)</w:t>
            </w:r>
          </w:p>
          <w:p w:rsidR="00C464C7" w:rsidRPr="00C464C7" w:rsidRDefault="005D4888" w:rsidP="00C464C7">
            <w:pPr>
              <w:tabs>
                <w:tab w:val="left" w:pos="252"/>
              </w:tabs>
              <w:rPr>
                <w:color w:val="385623" w:themeColor="accent6" w:themeShade="80"/>
                <w:sz w:val="20"/>
              </w:rPr>
            </w:pPr>
            <w:hyperlink r:id="rId10" w:history="1">
              <w:r w:rsidR="00C464C7" w:rsidRPr="00C464C7">
                <w:rPr>
                  <w:b/>
                  <w:color w:val="385623" w:themeColor="accent6" w:themeShade="80"/>
                  <w:sz w:val="20"/>
                </w:rPr>
                <w:t>http://dec.membershipsoftware.org/files/Position%20Statement%20and%20Papers/CB%20Concept%20Paper.pdf</w:t>
              </w:r>
            </w:hyperlink>
            <w:r w:rsidR="00C464C7" w:rsidRPr="00C464C7">
              <w:rPr>
                <w:b/>
                <w:color w:val="385623" w:themeColor="accent6" w:themeShade="80"/>
                <w:sz w:val="20"/>
              </w:rPr>
              <w:t xml:space="preserve"> </w:t>
            </w:r>
          </w:p>
          <w:p w:rsidR="00C464C7" w:rsidRPr="00C464C7" w:rsidRDefault="00C464C7" w:rsidP="00C464C7">
            <w:pPr>
              <w:tabs>
                <w:tab w:val="left" w:pos="252"/>
              </w:tabs>
              <w:rPr>
                <w:i/>
                <w:color w:val="000000"/>
                <w:sz w:val="20"/>
              </w:rPr>
            </w:pPr>
            <w:r w:rsidRPr="00C464C7">
              <w:rPr>
                <w:i/>
                <w:color w:val="000000"/>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A companion concept paper </w:t>
            </w:r>
            <w:r>
              <w:rPr>
                <w:i/>
                <w:color w:val="000000"/>
                <w:sz w:val="20"/>
              </w:rPr>
              <w:t xml:space="preserve">provides additional background information and resources </w:t>
            </w:r>
            <w:r w:rsidRPr="00C464C7">
              <w:rPr>
                <w:color w:val="385623" w:themeColor="accent6" w:themeShade="80"/>
                <w:sz w:val="20"/>
              </w:rPr>
              <w:t>(</w:t>
            </w:r>
            <w:hyperlink r:id="rId11" w:history="1">
              <w:r w:rsidRPr="00C464C7">
                <w:rPr>
                  <w:b/>
                  <w:color w:val="385623" w:themeColor="accent6" w:themeShade="80"/>
                  <w:sz w:val="20"/>
                </w:rPr>
                <w:t>http://dec.membershipsoftware.org/files/Position%20Statement%20and%20Papers/CB%20Concept%20Paper.pdf</w:t>
              </w:r>
            </w:hyperlink>
            <w:r w:rsidRPr="00C464C7">
              <w:rPr>
                <w:i/>
                <w:color w:val="000000"/>
                <w:sz w:val="20"/>
              </w:rPr>
              <w:t>).</w:t>
            </w:r>
          </w:p>
          <w:p w:rsidR="00C464C7" w:rsidRPr="00D14F4E" w:rsidRDefault="00C464C7" w:rsidP="00C464C7">
            <w:pPr>
              <w:rPr>
                <w:rFonts w:eastAsia="Times New Roman" w:cs="Tahoma"/>
                <w:b/>
                <w:bCs/>
                <w:color w:val="538135" w:themeColor="accent6" w:themeShade="BF"/>
                <w:sz w:val="16"/>
                <w:szCs w:val="24"/>
              </w:rPr>
            </w:pPr>
          </w:p>
          <w:p w:rsidR="00C464C7" w:rsidRPr="00C464C7" w:rsidRDefault="00C464C7" w:rsidP="00C464C7">
            <w:pPr>
              <w:rPr>
                <w:rFonts w:eastAsia="Times New Roman" w:cs="Tahoma"/>
                <w:b/>
                <w:bCs/>
                <w:color w:val="538135" w:themeColor="accent6" w:themeShade="BF"/>
                <w:szCs w:val="24"/>
              </w:rPr>
            </w:pPr>
            <w:r w:rsidRPr="00C464C7">
              <w:rPr>
                <w:rFonts w:eastAsia="Times New Roman" w:cs="Tahoma"/>
                <w:b/>
                <w:bCs/>
                <w:color w:val="538135" w:themeColor="accent6" w:themeShade="BF"/>
                <w:szCs w:val="24"/>
              </w:rPr>
              <w:t>Dual Language Learners with Challenging Behavior (</w:t>
            </w:r>
            <w:r w:rsidR="00CF0C45">
              <w:rPr>
                <w:rFonts w:eastAsia="Times New Roman" w:cs="Tahoma"/>
                <w:b/>
                <w:bCs/>
                <w:color w:val="538135" w:themeColor="accent6" w:themeShade="BF"/>
                <w:szCs w:val="24"/>
              </w:rPr>
              <w:t>birth</w:t>
            </w:r>
            <w:r w:rsidRPr="00C464C7">
              <w:rPr>
                <w:rFonts w:eastAsia="Times New Roman" w:cs="Tahoma"/>
                <w:b/>
                <w:bCs/>
                <w:color w:val="538135" w:themeColor="accent6" w:themeShade="BF"/>
                <w:szCs w:val="24"/>
              </w:rPr>
              <w:t>-5)</w:t>
            </w:r>
          </w:p>
          <w:p w:rsidR="00C464C7" w:rsidRPr="00C464C7" w:rsidRDefault="005D4888" w:rsidP="00C464C7">
            <w:pPr>
              <w:rPr>
                <w:rFonts w:eastAsia="Times New Roman"/>
                <w:b/>
                <w:color w:val="385623" w:themeColor="accent6" w:themeShade="80"/>
                <w:sz w:val="20"/>
              </w:rPr>
            </w:pPr>
            <w:hyperlink r:id="rId12" w:history="1">
              <w:r w:rsidR="00C464C7" w:rsidRPr="00C464C7">
                <w:rPr>
                  <w:rFonts w:eastAsia="Times New Roman"/>
                  <w:b/>
                  <w:color w:val="385623" w:themeColor="accent6" w:themeShade="80"/>
                  <w:sz w:val="20"/>
                </w:rPr>
                <w:t>http://eclkc.ohs.acf.hhs.gov/hslc/tta-system/cultural-linguistic/center/Dual%20Language%20Learners/ecd/supportive_environments/DualLanguageLea.htm</w:t>
              </w:r>
            </w:hyperlink>
          </w:p>
          <w:p w:rsidR="00C464C7" w:rsidRDefault="00C464C7" w:rsidP="00C464C7">
            <w:pPr>
              <w:rPr>
                <w:rFonts w:cs="Calibri"/>
                <w:i/>
                <w:sz w:val="20"/>
              </w:rPr>
            </w:pPr>
            <w:r w:rsidRPr="00C464C7">
              <w:rPr>
                <w:rFonts w:cs="Calibri"/>
                <w:i/>
                <w:sz w:val="20"/>
              </w:rPr>
              <w:t>Children communicate so much through their behavior. Teachers and caregivers will find this article useful in identifying strategies for working with dual language learners exhibiting challenging behaviors.</w:t>
            </w:r>
            <w:r>
              <w:rPr>
                <w:rFonts w:cs="Calibri"/>
                <w:i/>
                <w:sz w:val="20"/>
              </w:rPr>
              <w:t xml:space="preserve"> </w:t>
            </w:r>
            <w:r w:rsidR="005A4677">
              <w:rPr>
                <w:rFonts w:cs="Calibri"/>
                <w:i/>
                <w:sz w:val="20"/>
              </w:rPr>
              <w:t>This resource is a</w:t>
            </w:r>
            <w:r>
              <w:rPr>
                <w:rFonts w:cs="Calibri"/>
                <w:i/>
                <w:sz w:val="20"/>
              </w:rPr>
              <w:t>vailable in English and Spanish.</w:t>
            </w:r>
          </w:p>
          <w:p w:rsidR="00D14F4E" w:rsidRPr="00D14F4E" w:rsidRDefault="00D14F4E" w:rsidP="00C464C7">
            <w:pPr>
              <w:rPr>
                <w:rFonts w:cs="Calibri"/>
                <w:i/>
                <w:sz w:val="16"/>
              </w:rPr>
            </w:pPr>
          </w:p>
          <w:p w:rsidR="00D14F4E" w:rsidRPr="00C464C7" w:rsidRDefault="00D14F4E" w:rsidP="00D14F4E">
            <w:pPr>
              <w:outlineLvl w:val="2"/>
              <w:rPr>
                <w:rFonts w:eastAsia="Times New Roman" w:cs="Tahoma"/>
                <w:b/>
                <w:bCs/>
                <w:color w:val="538135" w:themeColor="accent6" w:themeShade="BF"/>
                <w:szCs w:val="24"/>
              </w:rPr>
            </w:pPr>
            <w:r w:rsidRPr="00C464C7">
              <w:rPr>
                <w:rFonts w:eastAsia="Times New Roman" w:cs="Tahoma"/>
                <w:b/>
                <w:bCs/>
                <w:color w:val="538135" w:themeColor="accent6" w:themeShade="BF"/>
                <w:szCs w:val="24"/>
              </w:rPr>
              <w:t>Teaching Pyramid: A Model for Supporting Social Competence and Preventing Challenging Behavior in Young Children</w:t>
            </w:r>
            <w:r>
              <w:rPr>
                <w:rFonts w:eastAsia="Times New Roman"/>
                <w:bCs/>
              </w:rPr>
              <w:t xml:space="preserve"> </w:t>
            </w:r>
            <w:r w:rsidRPr="00C464C7">
              <w:rPr>
                <w:rFonts w:eastAsia="Times New Roman" w:cs="Tahoma"/>
                <w:b/>
                <w:bCs/>
                <w:color w:val="538135" w:themeColor="accent6" w:themeShade="BF"/>
                <w:szCs w:val="24"/>
              </w:rPr>
              <w:t>(3-5)</w:t>
            </w:r>
          </w:p>
          <w:p w:rsidR="00D14F4E" w:rsidRDefault="005D4888" w:rsidP="00D14F4E">
            <w:pPr>
              <w:outlineLvl w:val="2"/>
              <w:rPr>
                <w:i/>
                <w:sz w:val="20"/>
              </w:rPr>
            </w:pPr>
            <w:hyperlink r:id="rId13" w:history="1">
              <w:r w:rsidR="00D14F4E" w:rsidRPr="00C464C7">
                <w:rPr>
                  <w:b/>
                  <w:color w:val="385623" w:themeColor="accent6" w:themeShade="80"/>
                  <w:sz w:val="20"/>
                </w:rPr>
                <w:t>http://www.challengingbehavior.org/do/resources/documents/yc_article_7_2003.pdf</w:t>
              </w:r>
            </w:hyperlink>
          </w:p>
          <w:p w:rsidR="00D14F4E" w:rsidRPr="00C464C7" w:rsidRDefault="00D14F4E" w:rsidP="00D14F4E">
            <w:pPr>
              <w:outlineLvl w:val="2"/>
              <w:rPr>
                <w:i/>
                <w:sz w:val="20"/>
              </w:rPr>
            </w:pPr>
            <w:r w:rsidRPr="00C464C7">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rsidR="005D4888" w:rsidRDefault="005D4888" w:rsidP="00964BE0"/>
          <w:bookmarkStart w:id="0" w:name="_GoBack"/>
          <w:bookmarkEnd w:id="0"/>
          <w:p w:rsidR="00734BEC" w:rsidRPr="00D14F4E" w:rsidRDefault="005D4888" w:rsidP="00964BE0">
            <w:pPr>
              <w:rPr>
                <w:rFonts w:eastAsia="Times New Roman" w:cs="Tahoma"/>
                <w:b/>
                <w:bCs/>
                <w:color w:val="385623" w:themeColor="accent6" w:themeShade="80"/>
                <w:sz w:val="20"/>
                <w:szCs w:val="20"/>
              </w:rPr>
            </w:pPr>
            <w:r>
              <w:fldChar w:fldCharType="begin"/>
            </w:r>
            <w:r>
              <w:instrText xml:space="preserve"> HYPERLINK "http://challengingbehavior.fmhi.usf.edu/do/reso</w:instrText>
            </w:r>
            <w:r>
              <w:instrText xml:space="preserve">urces/documents/tool_fam_routine_guide_infants.pdf" \t "_blank" </w:instrText>
            </w:r>
            <w:r>
              <w:fldChar w:fldCharType="separate"/>
            </w:r>
            <w:r w:rsidR="00964BE0" w:rsidRPr="00D14F4E">
              <w:rPr>
                <w:rFonts w:eastAsia="Times New Roman" w:cs="Tahoma"/>
                <w:b/>
                <w:bCs/>
                <w:color w:val="538135" w:themeColor="accent6" w:themeShade="BF"/>
                <w:szCs w:val="24"/>
              </w:rPr>
              <w:t>Family Routine Based Support Guide</w:t>
            </w:r>
            <w:r>
              <w:rPr>
                <w:rFonts w:eastAsia="Times New Roman" w:cs="Tahoma"/>
                <w:b/>
                <w:bCs/>
                <w:color w:val="538135" w:themeColor="accent6" w:themeShade="BF"/>
                <w:szCs w:val="24"/>
              </w:rPr>
              <w:fldChar w:fldCharType="end"/>
            </w:r>
            <w:r w:rsidR="00734BEC" w:rsidRPr="00D14F4E">
              <w:rPr>
                <w:rFonts w:eastAsia="Times New Roman" w:cs="Tahoma"/>
                <w:b/>
                <w:bCs/>
                <w:color w:val="538135" w:themeColor="accent6" w:themeShade="BF"/>
                <w:szCs w:val="24"/>
              </w:rPr>
              <w:t xml:space="preserve">: Early Elementary (4-8) </w:t>
            </w:r>
            <w:hyperlink r:id="rId14" w:history="1">
              <w:r w:rsidR="00964BE0" w:rsidRPr="00D14F4E">
                <w:rPr>
                  <w:rFonts w:eastAsia="Times New Roman" w:cs="Tahoma"/>
                  <w:b/>
                  <w:bCs/>
                  <w:color w:val="385623" w:themeColor="accent6" w:themeShade="80"/>
                  <w:sz w:val="20"/>
                  <w:szCs w:val="20"/>
                </w:rPr>
                <w:t>http://challengingbehavior.fmhi.usf.edu/do/resources/documents/tool_fam_routine_guide_early_ele.pdf</w:t>
              </w:r>
            </w:hyperlink>
          </w:p>
          <w:p w:rsidR="00964BE0" w:rsidRPr="00964BE0" w:rsidRDefault="00734BEC" w:rsidP="00964BE0">
            <w:pPr>
              <w:rPr>
                <w:rFonts w:eastAsia="Times New Roman"/>
                <w:i/>
                <w:sz w:val="20"/>
                <w:szCs w:val="24"/>
              </w:rPr>
            </w:pPr>
            <w:r w:rsidRPr="00D14F4E">
              <w:rPr>
                <w:rFonts w:eastAsia="Times New Roman"/>
                <w:i/>
                <w:sz w:val="20"/>
                <w:szCs w:val="24"/>
              </w:rPr>
              <w:t>This guide was</w:t>
            </w:r>
            <w:r w:rsidR="00964BE0" w:rsidRPr="00D14F4E">
              <w:rPr>
                <w:rFonts w:eastAsia="Times New Roman"/>
                <w:i/>
                <w:sz w:val="20"/>
                <w:szCs w:val="24"/>
              </w:rPr>
              <w:t xml:space="preserve"> developed to assist family members and caregivers in young children </w:t>
            </w:r>
            <w:r w:rsidR="00D14F4E">
              <w:rPr>
                <w:rFonts w:eastAsia="Times New Roman"/>
                <w:i/>
                <w:sz w:val="20"/>
                <w:szCs w:val="24"/>
              </w:rPr>
              <w:t xml:space="preserve">who are using challenging behavior, </w:t>
            </w:r>
            <w:r w:rsidR="00964BE0" w:rsidRPr="00D14F4E">
              <w:rPr>
                <w:rFonts w:eastAsia="Times New Roman"/>
                <w:i/>
                <w:sz w:val="20"/>
                <w:szCs w:val="24"/>
              </w:rPr>
              <w:t>as well as</w:t>
            </w:r>
            <w:r w:rsidR="00D14F4E">
              <w:rPr>
                <w:rFonts w:eastAsia="Times New Roman"/>
                <w:i/>
                <w:sz w:val="20"/>
                <w:szCs w:val="24"/>
              </w:rPr>
              <w:t xml:space="preserve"> in developing supportive plans for addressing/reducing those behaviors in the future. The examples are clear and relevant to the routines that are part of family life.</w:t>
            </w:r>
            <w:r w:rsidR="00964BE0" w:rsidRPr="00964BE0">
              <w:rPr>
                <w:rFonts w:eastAsia="Times New Roman"/>
                <w:i/>
                <w:sz w:val="20"/>
                <w:szCs w:val="24"/>
              </w:rPr>
              <w:t xml:space="preserve"> </w:t>
            </w:r>
          </w:p>
          <w:p w:rsidR="00734BEC" w:rsidRPr="00D14F4E" w:rsidRDefault="00734BEC" w:rsidP="00EE593C">
            <w:pPr>
              <w:outlineLvl w:val="0"/>
              <w:rPr>
                <w:b/>
                <w:color w:val="006600"/>
                <w:sz w:val="16"/>
              </w:rPr>
            </w:pPr>
          </w:p>
          <w:p w:rsidR="00D14F4E" w:rsidRPr="001B1DFF" w:rsidRDefault="00734BEC" w:rsidP="00D14F4E">
            <w:pPr>
              <w:rPr>
                <w:rFonts w:eastAsia="Times New Roman" w:cs="Tahoma"/>
                <w:b/>
                <w:bCs/>
                <w:color w:val="538135" w:themeColor="accent6" w:themeShade="BF"/>
                <w:szCs w:val="24"/>
              </w:rPr>
            </w:pPr>
            <w:r w:rsidRPr="001B1DFF">
              <w:rPr>
                <w:rFonts w:eastAsia="Times New Roman" w:cs="Tahoma"/>
                <w:b/>
                <w:bCs/>
                <w:color w:val="538135" w:themeColor="accent6" w:themeShade="BF"/>
                <w:szCs w:val="24"/>
              </w:rPr>
              <w:t xml:space="preserve">Classroom Routine Support Guides </w:t>
            </w:r>
          </w:p>
          <w:p w:rsidR="00D14F4E" w:rsidRPr="00D14F4E" w:rsidRDefault="00734BEC" w:rsidP="00D14F4E">
            <w:pPr>
              <w:rPr>
                <w:rFonts w:eastAsia="Times New Roman" w:cs="Arial"/>
                <w:i/>
                <w:sz w:val="20"/>
                <w:szCs w:val="20"/>
              </w:rPr>
            </w:pPr>
            <w:r w:rsidRPr="00D14F4E">
              <w:rPr>
                <w:rFonts w:eastAsia="Times New Roman" w:cs="Tahoma"/>
                <w:bCs/>
                <w:i/>
                <w:color w:val="000000"/>
                <w:sz w:val="20"/>
                <w:szCs w:val="20"/>
              </w:rPr>
              <w:t xml:space="preserve">These guides were developed to assist teachers and caregivers </w:t>
            </w:r>
            <w:r w:rsidRPr="00D14F4E">
              <w:rPr>
                <w:rFonts w:eastAsia="Times New Roman" w:cs="Arial"/>
                <w:i/>
                <w:sz w:val="20"/>
                <w:szCs w:val="20"/>
              </w:rPr>
              <w:t xml:space="preserve">in problem-solving a plan to support young children who are having challenging behavior. </w:t>
            </w:r>
            <w:r w:rsidR="00D14F4E">
              <w:rPr>
                <w:rFonts w:eastAsia="Times New Roman" w:cs="Arial"/>
                <w:i/>
                <w:sz w:val="20"/>
                <w:szCs w:val="20"/>
              </w:rPr>
              <w:t>Organized around the routines/activities that would typically occur in an early childhood</w:t>
            </w:r>
            <w:r w:rsidR="001B1DFF">
              <w:rPr>
                <w:rFonts w:eastAsia="Times New Roman" w:cs="Arial"/>
                <w:i/>
                <w:sz w:val="20"/>
                <w:szCs w:val="20"/>
              </w:rPr>
              <w:t xml:space="preserve"> setting, the guide is designed to help early childhood professionals </w:t>
            </w:r>
            <w:r w:rsidR="00D14F4E" w:rsidRPr="001B1DFF">
              <w:rPr>
                <w:rFonts w:eastAsia="Times New Roman" w:cs="Arial"/>
                <w:i/>
                <w:sz w:val="20"/>
                <w:szCs w:val="20"/>
              </w:rPr>
              <w:t xml:space="preserve">understand the purpose or meaning of </w:t>
            </w:r>
            <w:r w:rsidR="00D14F4E" w:rsidRPr="00D14F4E">
              <w:rPr>
                <w:rFonts w:eastAsia="Times New Roman" w:cs="Arial"/>
                <w:i/>
                <w:sz w:val="20"/>
                <w:szCs w:val="20"/>
              </w:rPr>
              <w:t xml:space="preserve">the behavior, </w:t>
            </w:r>
            <w:r w:rsidR="001B1DFF">
              <w:rPr>
                <w:rFonts w:eastAsia="Times New Roman" w:cs="Arial"/>
                <w:i/>
                <w:sz w:val="20"/>
                <w:szCs w:val="20"/>
              </w:rPr>
              <w:t xml:space="preserve">and to support them </w:t>
            </w:r>
            <w:r w:rsidR="00D14F4E" w:rsidRPr="00D14F4E">
              <w:rPr>
                <w:rFonts w:eastAsia="Times New Roman" w:cs="Arial"/>
                <w:i/>
                <w:sz w:val="20"/>
                <w:szCs w:val="20"/>
              </w:rPr>
              <w:t>to select strategies to make the behavior irrelevant, inefficient, and ineffective. They can do this by selecting prevention strategies, teaching new skills, and changing responses in an effort to eliminate or minimize the c</w:t>
            </w:r>
            <w:r w:rsidR="001B1DFF">
              <w:rPr>
                <w:rFonts w:eastAsia="Times New Roman" w:cs="Arial"/>
                <w:i/>
                <w:sz w:val="20"/>
                <w:szCs w:val="20"/>
              </w:rPr>
              <w:t xml:space="preserve">hallenging behavior, examples for which are provided in the guides. </w:t>
            </w:r>
          </w:p>
          <w:p w:rsidR="00734BEC" w:rsidRPr="001B1DFF" w:rsidRDefault="00734BEC" w:rsidP="00734BEC">
            <w:pPr>
              <w:numPr>
                <w:ilvl w:val="0"/>
                <w:numId w:val="6"/>
              </w:numPr>
              <w:spacing w:after="200" w:line="276" w:lineRule="auto"/>
              <w:contextualSpacing/>
              <w:rPr>
                <w:rFonts w:eastAsia="Times New Roman" w:cs="Tahoma"/>
                <w:b/>
                <w:bCs/>
                <w:color w:val="385623" w:themeColor="accent6" w:themeShade="80"/>
                <w:sz w:val="20"/>
                <w:szCs w:val="24"/>
              </w:rPr>
            </w:pPr>
            <w:r w:rsidRPr="001B1DFF">
              <w:rPr>
                <w:rFonts w:eastAsia="Times New Roman" w:cs="Tahoma"/>
                <w:b/>
                <w:bCs/>
                <w:color w:val="538135" w:themeColor="accent6" w:themeShade="BF"/>
                <w:sz w:val="22"/>
              </w:rPr>
              <w:t>Routine-Based Support Guide (2-5)</w:t>
            </w:r>
            <w:r w:rsidRPr="001B1DFF">
              <w:rPr>
                <w:rFonts w:eastAsia="Times New Roman" w:cs="Tahoma"/>
                <w:b/>
                <w:bCs/>
                <w:color w:val="538135" w:themeColor="accent6" w:themeShade="BF"/>
                <w:szCs w:val="24"/>
              </w:rPr>
              <w:t xml:space="preserve"> </w:t>
            </w:r>
            <w:hyperlink r:id="rId15" w:history="1">
              <w:r w:rsidRPr="001B1DFF">
                <w:rPr>
                  <w:rFonts w:eastAsia="Times New Roman" w:cs="Tahoma"/>
                  <w:b/>
                  <w:bCs/>
                  <w:color w:val="385623" w:themeColor="accent6" w:themeShade="80"/>
                  <w:sz w:val="20"/>
                  <w:szCs w:val="24"/>
                </w:rPr>
                <w:t>http://challengingbehavior.fmhi.usf.edu/do/resources/teaching_tools/toc/folder1/1e_routine_based.pdf</w:t>
              </w:r>
            </w:hyperlink>
          </w:p>
          <w:p w:rsidR="00734BEC" w:rsidRPr="001B1DFF" w:rsidRDefault="00734BEC" w:rsidP="001B1DFF">
            <w:pPr>
              <w:numPr>
                <w:ilvl w:val="0"/>
                <w:numId w:val="6"/>
              </w:numPr>
              <w:contextualSpacing/>
              <w:rPr>
                <w:rFonts w:eastAsia="Times New Roman" w:cs="Tahoma"/>
                <w:b/>
                <w:bCs/>
                <w:color w:val="385623" w:themeColor="accent6" w:themeShade="80"/>
                <w:szCs w:val="24"/>
              </w:rPr>
            </w:pPr>
            <w:r w:rsidRPr="001B1DFF">
              <w:rPr>
                <w:rFonts w:eastAsia="Times New Roman" w:cs="Tahoma"/>
                <w:b/>
                <w:bCs/>
                <w:color w:val="538135" w:themeColor="accent6" w:themeShade="BF"/>
                <w:sz w:val="22"/>
              </w:rPr>
              <w:t>Early Elementary K-2</w:t>
            </w:r>
            <w:r w:rsidRPr="001B1DFF">
              <w:rPr>
                <w:rFonts w:eastAsia="Times New Roman" w:cs="Tahoma"/>
                <w:b/>
                <w:bCs/>
                <w:color w:val="538135" w:themeColor="accent6" w:themeShade="BF"/>
                <w:sz w:val="22"/>
                <w:vertAlign w:val="superscript"/>
              </w:rPr>
              <w:t>nd</w:t>
            </w:r>
            <w:r w:rsidRPr="001B1DFF">
              <w:rPr>
                <w:rFonts w:eastAsia="Times New Roman" w:cs="Tahoma"/>
                <w:b/>
                <w:bCs/>
                <w:color w:val="538135" w:themeColor="accent6" w:themeShade="BF"/>
                <w:sz w:val="22"/>
              </w:rPr>
              <w:t xml:space="preserve"> Grade </w:t>
            </w:r>
            <w:hyperlink r:id="rId16" w:history="1">
              <w:r w:rsidRPr="001B1DFF">
                <w:rPr>
                  <w:rFonts w:eastAsia="Times New Roman" w:cs="Tahoma"/>
                  <w:b/>
                  <w:bCs/>
                  <w:color w:val="385623" w:themeColor="accent6" w:themeShade="80"/>
                  <w:sz w:val="20"/>
                  <w:szCs w:val="24"/>
                </w:rPr>
                <w:t>http://challengingbehavior.fmhi.usf.edu/do/resources/documents/tool_class_routine_guide_early_ele.pdf</w:t>
              </w:r>
            </w:hyperlink>
          </w:p>
          <w:p w:rsidR="00734BEC" w:rsidRPr="001B1DFF" w:rsidRDefault="00734BEC" w:rsidP="00EE593C">
            <w:pPr>
              <w:outlineLvl w:val="0"/>
              <w:rPr>
                <w:b/>
                <w:color w:val="006600"/>
                <w:sz w:val="16"/>
              </w:rPr>
            </w:pPr>
          </w:p>
          <w:p w:rsidR="001B7D53" w:rsidRPr="00694884" w:rsidRDefault="001B7D53" w:rsidP="00EE593C">
            <w:pPr>
              <w:outlineLvl w:val="0"/>
              <w:rPr>
                <w:sz w:val="22"/>
              </w:rPr>
            </w:pPr>
            <w:r w:rsidRPr="00295D0F">
              <w:rPr>
                <w:b/>
                <w:color w:val="006600"/>
                <w:sz w:val="22"/>
              </w:rPr>
              <w:t>Want more information about this domain?</w:t>
            </w:r>
            <w:r w:rsidRPr="00295D0F">
              <w:rPr>
                <w:color w:val="006600"/>
                <w:sz w:val="22"/>
              </w:rPr>
              <w:t xml:space="preserve">  </w:t>
            </w:r>
            <w:r w:rsidRPr="001B7D53">
              <w:rPr>
                <w:sz w:val="22"/>
              </w:rPr>
              <w:t xml:space="preserve">Check out the Vermont Early Learning Standards (VELS) online at </w:t>
            </w:r>
            <w:hyperlink r:id="rId17" w:tgtFrame="_blank" w:history="1">
              <w:r w:rsidRPr="00295D0F">
                <w:rPr>
                  <w:b/>
                  <w:color w:val="006600"/>
                  <w:sz w:val="22"/>
                </w:rPr>
                <w:t>http://education.vermont.gov/student-support/early-education/vermont-early-learning-standards</w:t>
              </w:r>
            </w:hyperlink>
            <w:r w:rsidRPr="00295D0F">
              <w:rPr>
                <w:b/>
                <w:color w:val="006600"/>
                <w:sz w:val="22"/>
              </w:rPr>
              <w:t xml:space="preserve"> </w:t>
            </w:r>
            <w:r w:rsidRPr="00295D0F">
              <w:rPr>
                <w:color w:val="006600"/>
                <w:sz w:val="22"/>
              </w:rPr>
              <w:t xml:space="preserve"> </w:t>
            </w:r>
            <w:r w:rsidR="00694884" w:rsidRPr="00694884">
              <w:rPr>
                <w:sz w:val="22"/>
              </w:rPr>
              <w:t xml:space="preserve">The </w:t>
            </w:r>
            <w:r w:rsidR="001F6EC0">
              <w:rPr>
                <w:sz w:val="22"/>
              </w:rPr>
              <w:t>Social and Emotional Learning and Development</w:t>
            </w:r>
            <w:r w:rsidR="00022E98" w:rsidRPr="00694884">
              <w:rPr>
                <w:sz w:val="22"/>
              </w:rPr>
              <w:t xml:space="preserve"> domain</w:t>
            </w:r>
            <w:r w:rsidRPr="00694884">
              <w:rPr>
                <w:sz w:val="22"/>
              </w:rPr>
              <w:t xml:space="preserve"> starts on page </w:t>
            </w:r>
            <w:r w:rsidR="00694884" w:rsidRPr="00694884">
              <w:rPr>
                <w:sz w:val="22"/>
              </w:rPr>
              <w:t>3</w:t>
            </w:r>
            <w:r w:rsidR="001F6EC0">
              <w:rPr>
                <w:sz w:val="22"/>
              </w:rPr>
              <w:t>0</w:t>
            </w:r>
            <w:r w:rsidRPr="00694884">
              <w:rPr>
                <w:sz w:val="22"/>
              </w:rPr>
              <w:t>.</w:t>
            </w:r>
          </w:p>
          <w:p w:rsidR="00EE593C" w:rsidRPr="00694884" w:rsidRDefault="00EE593C" w:rsidP="00EE593C">
            <w:pPr>
              <w:outlineLvl w:val="0"/>
              <w:rPr>
                <w:sz w:val="22"/>
              </w:rPr>
            </w:pPr>
          </w:p>
          <w:p w:rsidR="004B0D44" w:rsidRDefault="004B0D44" w:rsidP="001B7D53">
            <w:r w:rsidRPr="00295D0F">
              <w:rPr>
                <w:b/>
                <w:noProof/>
                <w:color w:val="006600"/>
                <w:sz w:val="28"/>
              </w:rPr>
              <w:drawing>
                <wp:anchor distT="0" distB="0" distL="114300" distR="114300" simplePos="0" relativeHeight="251658240" behindDoc="1" locked="0" layoutInCell="1" allowOverlap="1" wp14:anchorId="21BD015F" wp14:editId="6AEA627D">
                  <wp:simplePos x="0" y="0"/>
                  <wp:positionH relativeFrom="column">
                    <wp:posOffset>26670</wp:posOffset>
                  </wp:positionH>
                  <wp:positionV relativeFrom="paragraph">
                    <wp:posOffset>-608965</wp:posOffset>
                  </wp:positionV>
                  <wp:extent cx="876300" cy="746760"/>
                  <wp:effectExtent l="0" t="0" r="0" b="0"/>
                  <wp:wrapTight wrapText="right">
                    <wp:wrapPolygon edited="0">
                      <wp:start x="0" y="0"/>
                      <wp:lineTo x="0" y="20939"/>
                      <wp:lineTo x="21130" y="20939"/>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746760"/>
                          </a:xfrm>
                          <a:prstGeom prst="rect">
                            <a:avLst/>
                          </a:prstGeom>
                          <a:noFill/>
                        </pic:spPr>
                      </pic:pic>
                    </a:graphicData>
                  </a:graphic>
                  <wp14:sizeRelH relativeFrom="margin">
                    <wp14:pctWidth>0</wp14:pctWidth>
                  </wp14:sizeRelH>
                  <wp14:sizeRelV relativeFrom="margin">
                    <wp14:pctHeight>0</wp14:pctHeight>
                  </wp14:sizeRelV>
                </wp:anchor>
              </w:drawing>
            </w:r>
            <w:r w:rsidRPr="00694884">
              <w:rPr>
                <w:rFonts w:eastAsia="Times New Roman" w:cs="Arial"/>
                <w:b/>
                <w:bCs/>
                <w:noProof/>
                <w:color w:val="444444"/>
                <w:sz w:val="8"/>
                <w:szCs w:val="24"/>
              </w:rPr>
              <mc:AlternateContent>
                <mc:Choice Requires="wps">
                  <w:drawing>
                    <wp:anchor distT="0" distB="0" distL="114300" distR="114300" simplePos="0" relativeHeight="251659264" behindDoc="0" locked="0" layoutInCell="1" allowOverlap="1" wp14:anchorId="565904AE" wp14:editId="30156C11">
                      <wp:simplePos x="0" y="0"/>
                      <wp:positionH relativeFrom="column">
                        <wp:posOffset>-887095</wp:posOffset>
                      </wp:positionH>
                      <wp:positionV relativeFrom="paragraph">
                        <wp:posOffset>244475</wp:posOffset>
                      </wp:positionV>
                      <wp:extent cx="7239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BCA" w:rsidRPr="004B0D44" w:rsidRDefault="009F1BCA">
                                  <w:pPr>
                                    <w:rPr>
                                      <w:sz w:val="14"/>
                                    </w:rPr>
                                  </w:pPr>
                                  <w:r w:rsidRPr="004B0D44">
                                    <w:rPr>
                                      <w:sz w:val="14"/>
                                    </w:rPr>
                                    <w:t>Cover of 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04AE" id="Text Box 6" o:spid="_x0000_s1027" type="#_x0000_t202" style="position:absolute;margin-left:-69.85pt;margin-top:19.25pt;width:5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" fillcolor="white [3201]" strokeweight=".5pt">
                      <v:textbox>
                        <w:txbxContent>
                          <w:p w:rsidR="009F1BCA" w:rsidRPr="004B0D44" w:rsidRDefault="009F1BCA">
                            <w:pPr>
                              <w:rPr>
                                <w:sz w:val="14"/>
                              </w:rPr>
                            </w:pPr>
                            <w:r w:rsidRPr="004B0D44">
                              <w:rPr>
                                <w:sz w:val="14"/>
                              </w:rPr>
                              <w:t>Cover of VELS</w:t>
                            </w:r>
                          </w:p>
                        </w:txbxContent>
                      </v:textbox>
                    </v:shape>
                  </w:pict>
                </mc:Fallback>
              </mc:AlternateContent>
            </w:r>
            <w:r w:rsidR="001B7D53" w:rsidRPr="00694884">
              <w:rPr>
                <w:b/>
                <w:color w:val="006600"/>
                <w:sz w:val="22"/>
              </w:rPr>
              <w:t xml:space="preserve">Want more free resources related to this domain? </w:t>
            </w:r>
            <w:r w:rsidR="001B7D53" w:rsidRPr="00694884">
              <w:rPr>
                <w:sz w:val="22"/>
              </w:rPr>
              <w:t xml:space="preserve">An annotated collection of free resources related </w:t>
            </w:r>
            <w:r>
              <w:rPr>
                <w:sz w:val="22"/>
              </w:rPr>
              <w:tab/>
            </w:r>
            <w:r>
              <w:rPr>
                <w:sz w:val="22"/>
              </w:rPr>
              <w:tab/>
              <w:t xml:space="preserve">  </w:t>
            </w:r>
            <w:r w:rsidR="001B7D53" w:rsidRPr="00694884">
              <w:rPr>
                <w:sz w:val="22"/>
              </w:rPr>
              <w:t xml:space="preserve">to </w:t>
            </w:r>
            <w:r w:rsidR="001F6EC0">
              <w:rPr>
                <w:sz w:val="22"/>
              </w:rPr>
              <w:t>social and emotional development/challenging behavior</w:t>
            </w:r>
            <w:r w:rsidR="001B7D53" w:rsidRPr="00694884">
              <w:rPr>
                <w:sz w:val="22"/>
              </w:rPr>
              <w:t xml:space="preserve"> is available at </w:t>
            </w:r>
            <w:r>
              <w:rPr>
                <w:b/>
                <w:color w:val="006600"/>
              </w:rPr>
              <w:tab/>
            </w:r>
            <w:r>
              <w:rPr>
                <w:b/>
                <w:color w:val="006600"/>
              </w:rPr>
              <w:tab/>
            </w:r>
            <w:r>
              <w:rPr>
                <w:b/>
                <w:color w:val="006600"/>
              </w:rPr>
              <w:tab/>
            </w:r>
            <w:r w:rsidR="001F6EC0">
              <w:rPr>
                <w:b/>
                <w:color w:val="006600"/>
              </w:rPr>
              <w:t xml:space="preserve">  </w:t>
            </w:r>
            <w:r w:rsidR="001B1DFF">
              <w:rPr>
                <w:b/>
                <w:color w:val="006600"/>
              </w:rPr>
              <w:tab/>
            </w:r>
            <w:r w:rsidR="001B1DFF">
              <w:rPr>
                <w:b/>
                <w:color w:val="006600"/>
              </w:rPr>
              <w:tab/>
              <w:t xml:space="preserve">  </w:t>
            </w:r>
            <w:hyperlink r:id="rId19" w:history="1">
              <w:r w:rsidR="00823357" w:rsidRPr="00694884">
                <w:rPr>
                  <w:b/>
                  <w:color w:val="006600"/>
                  <w:sz w:val="22"/>
                </w:rPr>
                <w:t>http://fpg.unc.edu/presentations/vermont-instructor-resources</w:t>
              </w:r>
            </w:hyperlink>
            <w:r w:rsidR="00823357" w:rsidRPr="00694884">
              <w:t xml:space="preserve">  </w:t>
            </w:r>
            <w:r w:rsidR="00694884" w:rsidRPr="00694884">
              <w:t xml:space="preserve"> </w:t>
            </w:r>
          </w:p>
          <w:p w:rsidR="001B7D53" w:rsidRPr="001B7D53" w:rsidRDefault="004B0D44" w:rsidP="001B7D53">
            <w:pPr>
              <w:rPr>
                <w:sz w:val="22"/>
              </w:rPr>
            </w:pPr>
            <w:r>
              <w:tab/>
            </w:r>
            <w:r>
              <w:tab/>
              <w:t xml:space="preserve">  </w:t>
            </w:r>
            <w:r w:rsidR="001B7D53" w:rsidRPr="00694884">
              <w:rPr>
                <w:sz w:val="22"/>
              </w:rPr>
              <w:t>It includes free evidence sources, print materials, videos, websites and more.</w:t>
            </w:r>
            <w:r w:rsidR="001B7D53" w:rsidRPr="001B7D53">
              <w:rPr>
                <w:sz w:val="22"/>
              </w:rPr>
              <w:t xml:space="preserve"> </w:t>
            </w:r>
          </w:p>
          <w:p w:rsidR="00843E45" w:rsidRPr="00694884" w:rsidRDefault="00843E45" w:rsidP="001B7D53">
            <w:pPr>
              <w:rPr>
                <w:b/>
                <w:color w:val="7030A0"/>
                <w:sz w:val="8"/>
              </w:rPr>
            </w:pP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0"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CC28E0" w:rsidRDefault="00023C3D" w:rsidP="00023C3D">
            <w:pPr>
              <w:rPr>
                <w:noProof/>
                <w:sz w:val="16"/>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5307A" w:rsidRPr="00496932">
              <w:rPr>
                <w:rFonts w:cs="Garamond-BookCondensed"/>
                <w:sz w:val="22"/>
              </w:rPr>
              <w:t>. It is</w:t>
            </w:r>
            <w:r w:rsidRPr="00496932">
              <w:rPr>
                <w:rFonts w:cs="Garamond-BookCondensed"/>
                <w:sz w:val="22"/>
              </w:rPr>
              <w:t xml:space="preserve"> supported by a contract from the Vermont Agency of Education. Funding </w:t>
            </w:r>
            <w:r w:rsidR="00F97C8B" w:rsidRPr="00496932">
              <w:rPr>
                <w:rFonts w:cs="Garamond-BookCondensed"/>
                <w:sz w:val="22"/>
              </w:rPr>
              <w:t>i</w:t>
            </w:r>
            <w:r w:rsidRPr="00496932">
              <w:rPr>
                <w:rFonts w:cs="Garamond-BookCondensed"/>
                <w:sz w:val="22"/>
              </w:rPr>
              <w:t>s provided through the Vermont Race to the Top Early Learning Challenge Grant.</w:t>
            </w:r>
          </w:p>
          <w:p w:rsidR="00702DD2" w:rsidRPr="00CC28E0" w:rsidRDefault="00702DD2" w:rsidP="00023C3D">
            <w:pPr>
              <w:rPr>
                <w:noProof/>
                <w:sz w:val="16"/>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823357" w:rsidRDefault="004B0D44" w:rsidP="00226316">
            <w:pPr>
              <w:rPr>
                <w:b/>
                <w:noProof/>
                <w:color w:val="006600"/>
                <w:sz w:val="22"/>
              </w:rPr>
            </w:pPr>
            <w:r>
              <w:tab/>
            </w:r>
            <w:hyperlink r:id="rId21" w:history="1">
              <w:r w:rsidR="00823357" w:rsidRPr="00823357">
                <w:rPr>
                  <w:b/>
                  <w:color w:val="006600"/>
                  <w:sz w:val="22"/>
                </w:rPr>
                <w:t>subscribe-the_right_stuff_listserv@listserv.unc</w:t>
              </w:r>
            </w:hyperlink>
            <w:r w:rsidR="00823357" w:rsidRPr="00823357">
              <w:rPr>
                <w:b/>
                <w:noProof/>
                <w:color w:val="006600"/>
                <w:sz w:val="22"/>
              </w:rPr>
              <w:t xml:space="preserve">  </w:t>
            </w:r>
            <w:r w:rsidR="00E91C77" w:rsidRPr="00823357">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22" w:history="1">
              <w:r w:rsidRPr="00295D0F">
                <w:rPr>
                  <w:b/>
                  <w:noProof/>
                  <w:color w:val="006600"/>
                  <w:sz w:val="22"/>
                </w:rPr>
                <w:t>camille.catlett@unc.edu</w:t>
              </w:r>
            </w:hyperlink>
          </w:p>
        </w:tc>
      </w:tr>
    </w:tbl>
    <w:p w:rsidR="0092470D" w:rsidRPr="007F25F5" w:rsidRDefault="0092470D">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77"/>
    <w:rsid w:val="00003EA6"/>
    <w:rsid w:val="00006273"/>
    <w:rsid w:val="00022E98"/>
    <w:rsid w:val="00023C3D"/>
    <w:rsid w:val="000510AA"/>
    <w:rsid w:val="00051923"/>
    <w:rsid w:val="000A1F0D"/>
    <w:rsid w:val="000C1AB4"/>
    <w:rsid w:val="000C3CD0"/>
    <w:rsid w:val="000D7358"/>
    <w:rsid w:val="000D7900"/>
    <w:rsid w:val="00137633"/>
    <w:rsid w:val="00147C50"/>
    <w:rsid w:val="001B1DFF"/>
    <w:rsid w:val="001B7D53"/>
    <w:rsid w:val="001F6EC0"/>
    <w:rsid w:val="00226316"/>
    <w:rsid w:val="0023694B"/>
    <w:rsid w:val="00295D0F"/>
    <w:rsid w:val="002C5C0C"/>
    <w:rsid w:val="002D2ACF"/>
    <w:rsid w:val="002D311F"/>
    <w:rsid w:val="002F5B34"/>
    <w:rsid w:val="003066AE"/>
    <w:rsid w:val="00353808"/>
    <w:rsid w:val="00365713"/>
    <w:rsid w:val="00371AA9"/>
    <w:rsid w:val="00376B29"/>
    <w:rsid w:val="00383A3A"/>
    <w:rsid w:val="003C0AC1"/>
    <w:rsid w:val="003C2D03"/>
    <w:rsid w:val="003E594F"/>
    <w:rsid w:val="004016BF"/>
    <w:rsid w:val="00435014"/>
    <w:rsid w:val="00437127"/>
    <w:rsid w:val="00463D29"/>
    <w:rsid w:val="0046574E"/>
    <w:rsid w:val="004752E0"/>
    <w:rsid w:val="004804E9"/>
    <w:rsid w:val="00496932"/>
    <w:rsid w:val="004B0D44"/>
    <w:rsid w:val="004D182A"/>
    <w:rsid w:val="005046B7"/>
    <w:rsid w:val="005128CD"/>
    <w:rsid w:val="005138F0"/>
    <w:rsid w:val="00513B2E"/>
    <w:rsid w:val="0051577B"/>
    <w:rsid w:val="005217BF"/>
    <w:rsid w:val="00544E5A"/>
    <w:rsid w:val="00552DB1"/>
    <w:rsid w:val="005570D2"/>
    <w:rsid w:val="0055781D"/>
    <w:rsid w:val="00583203"/>
    <w:rsid w:val="005A38BF"/>
    <w:rsid w:val="005A4677"/>
    <w:rsid w:val="005C0B96"/>
    <w:rsid w:val="005C5A43"/>
    <w:rsid w:val="005D4888"/>
    <w:rsid w:val="005E0D38"/>
    <w:rsid w:val="005F45A5"/>
    <w:rsid w:val="00625C61"/>
    <w:rsid w:val="00657323"/>
    <w:rsid w:val="00660D87"/>
    <w:rsid w:val="006921BB"/>
    <w:rsid w:val="00694884"/>
    <w:rsid w:val="006A1A65"/>
    <w:rsid w:val="006B4D57"/>
    <w:rsid w:val="006C639E"/>
    <w:rsid w:val="006F2EA7"/>
    <w:rsid w:val="00702DD2"/>
    <w:rsid w:val="00727560"/>
    <w:rsid w:val="007303E3"/>
    <w:rsid w:val="00734BEC"/>
    <w:rsid w:val="00770409"/>
    <w:rsid w:val="00776423"/>
    <w:rsid w:val="007859A9"/>
    <w:rsid w:val="0078649B"/>
    <w:rsid w:val="0079797E"/>
    <w:rsid w:val="007A0529"/>
    <w:rsid w:val="007F25F5"/>
    <w:rsid w:val="0080002A"/>
    <w:rsid w:val="008048E4"/>
    <w:rsid w:val="00814DD0"/>
    <w:rsid w:val="00823357"/>
    <w:rsid w:val="00843E45"/>
    <w:rsid w:val="00845BA2"/>
    <w:rsid w:val="00872B47"/>
    <w:rsid w:val="00887DFD"/>
    <w:rsid w:val="008A1D90"/>
    <w:rsid w:val="008C4DF4"/>
    <w:rsid w:val="008D0CA7"/>
    <w:rsid w:val="008E4F3C"/>
    <w:rsid w:val="008F52B2"/>
    <w:rsid w:val="008F6950"/>
    <w:rsid w:val="00913BB1"/>
    <w:rsid w:val="0092470D"/>
    <w:rsid w:val="00947A02"/>
    <w:rsid w:val="00950D0C"/>
    <w:rsid w:val="00963F53"/>
    <w:rsid w:val="00964BE0"/>
    <w:rsid w:val="009820C9"/>
    <w:rsid w:val="009F1BCA"/>
    <w:rsid w:val="00A0141F"/>
    <w:rsid w:val="00A3318A"/>
    <w:rsid w:val="00AB5B64"/>
    <w:rsid w:val="00AD74E7"/>
    <w:rsid w:val="00B22886"/>
    <w:rsid w:val="00B650C3"/>
    <w:rsid w:val="00B76E50"/>
    <w:rsid w:val="00B94410"/>
    <w:rsid w:val="00BB3579"/>
    <w:rsid w:val="00C02AC5"/>
    <w:rsid w:val="00C464C7"/>
    <w:rsid w:val="00C916BA"/>
    <w:rsid w:val="00CC28E0"/>
    <w:rsid w:val="00CD536C"/>
    <w:rsid w:val="00CF0C45"/>
    <w:rsid w:val="00D10557"/>
    <w:rsid w:val="00D14F4E"/>
    <w:rsid w:val="00D4252A"/>
    <w:rsid w:val="00D5218B"/>
    <w:rsid w:val="00D5307A"/>
    <w:rsid w:val="00DD1614"/>
    <w:rsid w:val="00DF341B"/>
    <w:rsid w:val="00E03793"/>
    <w:rsid w:val="00E539A8"/>
    <w:rsid w:val="00E763DB"/>
    <w:rsid w:val="00E91C77"/>
    <w:rsid w:val="00EE4BD4"/>
    <w:rsid w:val="00EE593C"/>
    <w:rsid w:val="00F26020"/>
    <w:rsid w:val="00F547D2"/>
    <w:rsid w:val="00F754C1"/>
    <w:rsid w:val="00F877A8"/>
    <w:rsid w:val="00F97C8B"/>
    <w:rsid w:val="00FC3C2F"/>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7FF7"/>
  <w15:docId w15:val="{66694BA6-68D3-4631-966F-2BC16515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acenter.org/~pdfs/topics/inclusion/VT_EC_MTSS_One_Pager_SPDG_and_RTT-ELC.pdf" TargetMode="External"/><Relationship Id="rId13" Type="http://schemas.openxmlformats.org/officeDocument/2006/relationships/hyperlink" Target="http://www.challengingbehavior.org/do/resources/documents/yc_article_7_2003.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subscribe-the_right_stuff_listserv@listserv.unc" TargetMode="External"/><Relationship Id="rId7" Type="http://schemas.openxmlformats.org/officeDocument/2006/relationships/hyperlink" Target="https://vimeo.com/114577075" TargetMode="External"/><Relationship Id="rId12" Type="http://schemas.openxmlformats.org/officeDocument/2006/relationships/hyperlink" Target="http://eclkc.ohs.acf.hhs.gov/hslc/tta-system/cultural-linguistic/center/Dual%20Language%20Learners/ecd/supportive_environments/DualLanguageLea.htm" TargetMode="External"/><Relationship Id="rId17" Type="http://schemas.openxmlformats.org/officeDocument/2006/relationships/hyperlink" Target="http://education.vermont.gov/student-support/early-education/vermont-early-learning-standards" TargetMode="External"/><Relationship Id="rId2" Type="http://schemas.openxmlformats.org/officeDocument/2006/relationships/styles" Target="styles.xml"/><Relationship Id="rId16" Type="http://schemas.openxmlformats.org/officeDocument/2006/relationships/hyperlink" Target="http://challengingbehavior.fmhi.usf.edu/do/resources/documents/tool_class_routine_guide_early_ele.pdf" TargetMode="External"/><Relationship Id="rId20" Type="http://schemas.openxmlformats.org/officeDocument/2006/relationships/hyperlink" Target="http://fpg.unc.edu/presentations/right-stuf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ec.membershipsoftware.org/files/Position%20Statement%20and%20Papers/CB%20Concept%20Paper.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challengingbehavior.fmhi.usf.edu/do/resources/teaching_tools/toc/folder1/1e_routine_based.pdf" TargetMode="External"/><Relationship Id="rId23" Type="http://schemas.openxmlformats.org/officeDocument/2006/relationships/fontTable" Target="fontTable.xml"/><Relationship Id="rId10" Type="http://schemas.openxmlformats.org/officeDocument/2006/relationships/hyperlink" Target="http://dec.membershipsoftware.org/files/Position%20Statement%20and%20Papers/CB%20Concept%20Paper.pdf" TargetMode="External"/><Relationship Id="rId19" Type="http://schemas.openxmlformats.org/officeDocument/2006/relationships/hyperlink" Target="http://fpg.unc.edu/presentations/vermont-instructor-resources" TargetMode="External"/><Relationship Id="rId4" Type="http://schemas.openxmlformats.org/officeDocument/2006/relationships/webSettings" Target="webSettings.xml"/><Relationship Id="rId9" Type="http://schemas.openxmlformats.org/officeDocument/2006/relationships/hyperlink" Target="http://challengingbehavior.fmhi.usf.edu/do/resources/documents/tool_fam_routine_guide_infants.pdf" TargetMode="External"/><Relationship Id="rId14" Type="http://schemas.openxmlformats.org/officeDocument/2006/relationships/hyperlink" Target="http://challengingbehavior.fmhi.usf.edu/do/resources/documents/tool_fam_routine_guide_early_ele.pdf" TargetMode="External"/><Relationship Id="rId22"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1311</Words>
  <Characters>7478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2016-12-23T21:18:00Z</cp:lastPrinted>
  <dcterms:created xsi:type="dcterms:W3CDTF">2018-02-03T22:07:00Z</dcterms:created>
  <dcterms:modified xsi:type="dcterms:W3CDTF">2018-02-03T22:07:00Z</dcterms:modified>
</cp:coreProperties>
</file>