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4861"/>
        <w:gridCol w:w="6119"/>
      </w:tblGrid>
      <w:tr w:rsidR="00E91C77" w:rsidRPr="003D7C35" w:rsidTr="008E4F3C">
        <w:trPr>
          <w:trHeight w:val="1420"/>
        </w:trPr>
        <w:tc>
          <w:tcPr>
            <w:tcW w:w="4861" w:type="dxa"/>
            <w:tcBorders>
              <w:top w:val="single" w:sz="8" w:space="0" w:color="548DD4"/>
              <w:left w:val="single" w:sz="8" w:space="0" w:color="548DD4"/>
              <w:bottom w:val="single" w:sz="8" w:space="0" w:color="548DD4"/>
              <w:right w:val="nil"/>
            </w:tcBorders>
            <w:hideMark/>
          </w:tcPr>
          <w:p w:rsidR="00E91C77" w:rsidRPr="003D7C35" w:rsidRDefault="00AD74E7" w:rsidP="007D050F">
            <w:pPr>
              <w:jc w:val="center"/>
              <w:rPr>
                <w:color w:val="548DD4"/>
              </w:rPr>
            </w:pPr>
            <w:r>
              <w:rPr>
                <w:rFonts w:cs="Estrangelo Edessa"/>
                <w:b/>
                <w:noProof/>
                <w:color w:val="7030A0"/>
                <w:sz w:val="40"/>
                <w:szCs w:val="38"/>
              </w:rPr>
              <w:drawing>
                <wp:inline distT="0" distB="0" distL="0" distR="0" wp14:anchorId="61E2F8DE" wp14:editId="5B723CB5">
                  <wp:extent cx="2051539" cy="802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701" cy="799584"/>
                          </a:xfrm>
                          <a:prstGeom prst="rect">
                            <a:avLst/>
                          </a:prstGeom>
                          <a:noFill/>
                        </pic:spPr>
                      </pic:pic>
                    </a:graphicData>
                  </a:graphic>
                </wp:inline>
              </w:drawing>
            </w:r>
          </w:p>
        </w:tc>
        <w:tc>
          <w:tcPr>
            <w:tcW w:w="6119" w:type="dxa"/>
            <w:tcBorders>
              <w:top w:val="single" w:sz="8" w:space="0" w:color="548DD4"/>
              <w:left w:val="nil"/>
              <w:bottom w:val="single" w:sz="8" w:space="0" w:color="548DD4"/>
              <w:right w:val="single" w:sz="8" w:space="0" w:color="548DD4"/>
            </w:tcBorders>
            <w:vAlign w:val="center"/>
            <w:hideMark/>
          </w:tcPr>
          <w:p w:rsidR="008E4F3C" w:rsidRPr="008E4F3C" w:rsidRDefault="008E4F3C" w:rsidP="00AD74E7">
            <w:pPr>
              <w:rPr>
                <w:rFonts w:cs="Estrangelo Edessa"/>
                <w:b/>
                <w:color w:val="7030A0"/>
                <w:sz w:val="14"/>
                <w:szCs w:val="38"/>
              </w:rPr>
            </w:pPr>
          </w:p>
          <w:p w:rsidR="00E91C77" w:rsidRPr="00702DD2" w:rsidRDefault="00702DD2" w:rsidP="00AD74E7">
            <w:pPr>
              <w:rPr>
                <w:rFonts w:cs="Estrangelo Edessa"/>
                <w:b/>
                <w:color w:val="7030A0"/>
                <w:sz w:val="40"/>
                <w:szCs w:val="38"/>
              </w:rPr>
            </w:pPr>
            <w:r w:rsidRPr="00702DD2">
              <w:rPr>
                <w:rFonts w:cs="Estrangelo Edessa"/>
                <w:b/>
                <w:color w:val="7030A0"/>
                <w:sz w:val="40"/>
                <w:szCs w:val="38"/>
              </w:rPr>
              <w:t>The Right Stuff</w:t>
            </w:r>
            <w:r w:rsidR="005046B7">
              <w:rPr>
                <w:rFonts w:cs="Estrangelo Edessa"/>
                <w:b/>
                <w:color w:val="7030A0"/>
                <w:sz w:val="40"/>
                <w:szCs w:val="38"/>
              </w:rPr>
              <w:t xml:space="preserve"> </w:t>
            </w:r>
            <w:r w:rsidR="00AD74E7">
              <w:rPr>
                <w:rFonts w:cs="Estrangelo Edessa"/>
                <w:b/>
                <w:color w:val="7030A0"/>
                <w:sz w:val="40"/>
                <w:szCs w:val="38"/>
              </w:rPr>
              <w:t xml:space="preserve">          </w:t>
            </w:r>
            <w:r w:rsidR="005046B7">
              <w:rPr>
                <w:rFonts w:cs="Estrangelo Edessa"/>
                <w:b/>
                <w:color w:val="7030A0"/>
                <w:sz w:val="40"/>
                <w:szCs w:val="38"/>
              </w:rPr>
              <w:t xml:space="preserve"> </w:t>
            </w:r>
          </w:p>
          <w:p w:rsidR="00625C61" w:rsidRDefault="00702DD2" w:rsidP="00AD74E7">
            <w:pPr>
              <w:rPr>
                <w:rFonts w:cs="Estrangelo Edessa"/>
                <w:b/>
                <w:color w:val="385623" w:themeColor="accent6" w:themeShade="80"/>
                <w:sz w:val="28"/>
                <w:szCs w:val="38"/>
              </w:rPr>
            </w:pPr>
            <w:r w:rsidRPr="00AD74E7">
              <w:rPr>
                <w:rFonts w:cs="Estrangelo Edessa"/>
                <w:b/>
                <w:color w:val="385623" w:themeColor="accent6" w:themeShade="80"/>
                <w:sz w:val="28"/>
                <w:szCs w:val="38"/>
              </w:rPr>
              <w:t xml:space="preserve">Resources to Help Realize the Promise </w:t>
            </w:r>
          </w:p>
          <w:p w:rsidR="00702DD2" w:rsidRPr="00AD74E7" w:rsidRDefault="00702DD2" w:rsidP="00AD74E7">
            <w:pPr>
              <w:rPr>
                <w:rFonts w:cs="Estrangelo Edessa"/>
                <w:b/>
                <w:color w:val="385623" w:themeColor="accent6" w:themeShade="80"/>
                <w:sz w:val="28"/>
                <w:szCs w:val="38"/>
              </w:rPr>
            </w:pPr>
            <w:r w:rsidRPr="00AD74E7">
              <w:rPr>
                <w:rFonts w:cs="Estrangelo Edessa"/>
                <w:b/>
                <w:color w:val="385623" w:themeColor="accent6" w:themeShade="80"/>
                <w:sz w:val="28"/>
                <w:szCs w:val="38"/>
              </w:rPr>
              <w:t>of Each Vermont Child</w:t>
            </w:r>
          </w:p>
          <w:p w:rsidR="005046B7" w:rsidRPr="00625C61" w:rsidRDefault="005046B7" w:rsidP="007D050F">
            <w:pPr>
              <w:jc w:val="center"/>
              <w:rPr>
                <w:rFonts w:asciiTheme="minorHAnsi" w:hAnsiTheme="minorHAnsi" w:cs="Estrangelo Edessa"/>
                <w:b/>
                <w:sz w:val="8"/>
                <w:szCs w:val="38"/>
              </w:rPr>
            </w:pPr>
          </w:p>
        </w:tc>
      </w:tr>
      <w:tr w:rsidR="00E91C77" w:rsidRPr="003D7C35" w:rsidTr="008E4F3C">
        <w:tc>
          <w:tcPr>
            <w:tcW w:w="10980" w:type="dxa"/>
            <w:gridSpan w:val="2"/>
            <w:tcBorders>
              <w:top w:val="single" w:sz="8" w:space="0" w:color="548DD4"/>
              <w:left w:val="single" w:sz="8" w:space="0" w:color="548DD4"/>
              <w:bottom w:val="single" w:sz="8" w:space="0" w:color="548DD4"/>
              <w:right w:val="single" w:sz="8" w:space="0" w:color="548DD4"/>
            </w:tcBorders>
          </w:tcPr>
          <w:p w:rsidR="00353808" w:rsidRPr="00353808" w:rsidRDefault="00353808" w:rsidP="00353808">
            <w:pPr>
              <w:rPr>
                <w:b/>
                <w:noProof/>
                <w:color w:val="7030A0"/>
                <w:sz w:val="8"/>
                <w:szCs w:val="8"/>
              </w:rPr>
            </w:pPr>
          </w:p>
          <w:p w:rsidR="000A1F0D" w:rsidRDefault="000A1F0D" w:rsidP="005046B7">
            <w:pPr>
              <w:jc w:val="right"/>
              <w:rPr>
                <w:b/>
                <w:noProof/>
                <w:color w:val="7030A0"/>
              </w:rPr>
            </w:pPr>
            <w:r w:rsidRPr="00702DD2">
              <w:rPr>
                <w:b/>
                <w:noProof/>
                <w:color w:val="7030A0"/>
              </w:rPr>
              <w:t xml:space="preserve">Issue No. </w:t>
            </w:r>
            <w:r w:rsidR="002D311F">
              <w:rPr>
                <w:b/>
                <w:noProof/>
                <w:color w:val="7030A0"/>
              </w:rPr>
              <w:t>2</w:t>
            </w:r>
            <w:r w:rsidRPr="00702DD2">
              <w:rPr>
                <w:b/>
                <w:noProof/>
                <w:color w:val="7030A0"/>
              </w:rPr>
              <w:t xml:space="preserve"> </w:t>
            </w:r>
            <w:r w:rsidR="002D311F">
              <w:rPr>
                <w:b/>
                <w:noProof/>
                <w:color w:val="7030A0"/>
              </w:rPr>
              <w:t>Octo</w:t>
            </w:r>
            <w:r w:rsidRPr="00702DD2">
              <w:rPr>
                <w:b/>
                <w:noProof/>
                <w:color w:val="7030A0"/>
              </w:rPr>
              <w:t xml:space="preserve">ber 2016  </w:t>
            </w:r>
          </w:p>
          <w:p w:rsidR="00496932" w:rsidRPr="00552DB1" w:rsidRDefault="00496932" w:rsidP="00353808">
            <w:pPr>
              <w:rPr>
                <w:b/>
                <w:noProof/>
                <w:color w:val="7030A0"/>
                <w:sz w:val="10"/>
              </w:rPr>
            </w:pPr>
          </w:p>
          <w:p w:rsidR="002D311F" w:rsidRDefault="00353808" w:rsidP="00496932">
            <w:pPr>
              <w:shd w:val="clear" w:color="auto" w:fill="F2E5FF"/>
              <w:rPr>
                <w:b/>
                <w:noProof/>
                <w:color w:val="7030A0"/>
              </w:rPr>
            </w:pPr>
            <w:r>
              <w:rPr>
                <w:b/>
                <w:noProof/>
                <w:color w:val="7030A0"/>
              </w:rPr>
              <w:t>Featured Domain</w:t>
            </w:r>
            <w:r w:rsidR="005F45A5">
              <w:rPr>
                <w:b/>
                <w:noProof/>
                <w:color w:val="7030A0"/>
              </w:rPr>
              <w:t xml:space="preserve"> of the Vermont Early Learning Standards</w:t>
            </w:r>
            <w:r>
              <w:rPr>
                <w:b/>
                <w:noProof/>
                <w:color w:val="7030A0"/>
              </w:rPr>
              <w:t xml:space="preserve">: </w:t>
            </w:r>
          </w:p>
          <w:p w:rsidR="00E91C77" w:rsidRPr="00702DD2" w:rsidRDefault="002D311F" w:rsidP="00496932">
            <w:pPr>
              <w:shd w:val="clear" w:color="auto" w:fill="F2E5FF"/>
              <w:rPr>
                <w:b/>
                <w:noProof/>
                <w:color w:val="7030A0"/>
              </w:rPr>
            </w:pPr>
            <w:r>
              <w:rPr>
                <w:b/>
                <w:noProof/>
                <w:color w:val="7030A0"/>
              </w:rPr>
              <w:tab/>
            </w:r>
            <w:r>
              <w:rPr>
                <w:rFonts w:ascii="Arial Black" w:hAnsi="Arial Black"/>
                <w:b/>
                <w:noProof/>
                <w:color w:val="7030A0"/>
                <w:sz w:val="22"/>
              </w:rPr>
              <w:t>Social and Emotional Learning and Development</w:t>
            </w:r>
            <w:r w:rsidR="00353808">
              <w:rPr>
                <w:b/>
                <w:noProof/>
                <w:color w:val="7030A0"/>
              </w:rPr>
              <w:tab/>
            </w:r>
            <w:r w:rsidR="00353808">
              <w:rPr>
                <w:b/>
                <w:noProof/>
                <w:color w:val="7030A0"/>
              </w:rPr>
              <w:tab/>
            </w:r>
            <w:r w:rsidR="00E91C77" w:rsidRPr="00702DD2">
              <w:rPr>
                <w:b/>
                <w:noProof/>
                <w:color w:val="7030A0"/>
              </w:rPr>
              <w:t xml:space="preserve"> </w:t>
            </w:r>
          </w:p>
          <w:p w:rsidR="00496932" w:rsidRPr="00496932" w:rsidRDefault="00496932" w:rsidP="00496932">
            <w:pPr>
              <w:shd w:val="clear" w:color="auto" w:fill="F2E5FF"/>
              <w:outlineLvl w:val="0"/>
              <w:rPr>
                <w:rFonts w:ascii="Arial Black" w:eastAsia="Times New Roman" w:hAnsi="Arial Black" w:cs="Arial"/>
                <w:b/>
                <w:bCs/>
                <w:color w:val="444444"/>
                <w:sz w:val="8"/>
                <w:szCs w:val="8"/>
              </w:rPr>
            </w:pPr>
          </w:p>
          <w:p w:rsidR="00496932" w:rsidRPr="00496932" w:rsidRDefault="000A1F0D" w:rsidP="00496932">
            <w:pPr>
              <w:shd w:val="clear" w:color="auto" w:fill="F2E5FF"/>
              <w:outlineLvl w:val="0"/>
              <w:rPr>
                <w:rFonts w:ascii="Arial Black" w:eastAsia="Times New Roman" w:hAnsi="Arial Black" w:cs="Arial"/>
                <w:b/>
                <w:bCs/>
                <w:color w:val="444444"/>
                <w:sz w:val="18"/>
                <w:szCs w:val="24"/>
              </w:rPr>
            </w:pPr>
            <w:r w:rsidRPr="00496932">
              <w:rPr>
                <w:rFonts w:ascii="Arial Black" w:eastAsia="Times New Roman" w:hAnsi="Arial Black" w:cs="Arial"/>
                <w:b/>
                <w:bCs/>
                <w:color w:val="444444"/>
                <w:sz w:val="18"/>
                <w:szCs w:val="24"/>
              </w:rPr>
              <w:t>Elements</w:t>
            </w:r>
            <w:r w:rsidR="00496932" w:rsidRPr="00496932">
              <w:rPr>
                <w:rFonts w:ascii="Arial Black" w:eastAsia="Times New Roman" w:hAnsi="Arial Black" w:cs="Arial"/>
                <w:b/>
                <w:bCs/>
                <w:color w:val="444444"/>
                <w:sz w:val="18"/>
                <w:szCs w:val="24"/>
              </w:rPr>
              <w:t xml:space="preserve"> of this Domain</w:t>
            </w:r>
          </w:p>
          <w:p w:rsidR="004752E0" w:rsidRPr="00D4252A" w:rsidRDefault="002D311F" w:rsidP="00496932">
            <w:pPr>
              <w:pStyle w:val="ListParagraph"/>
              <w:numPr>
                <w:ilvl w:val="0"/>
                <w:numId w:val="3"/>
              </w:numPr>
              <w:shd w:val="clear" w:color="auto" w:fill="F2E5FF"/>
              <w:outlineLvl w:val="0"/>
              <w:rPr>
                <w:rFonts w:eastAsia="Times New Roman" w:cs="Arial"/>
                <w:bCs/>
                <w:color w:val="444444"/>
                <w:sz w:val="22"/>
                <w:szCs w:val="24"/>
              </w:rPr>
            </w:pPr>
            <w:r w:rsidRPr="00D4252A">
              <w:rPr>
                <w:rFonts w:eastAsia="Times New Roman" w:cs="Arial"/>
                <w:b/>
                <w:bCs/>
                <w:color w:val="7030A0"/>
                <w:sz w:val="22"/>
                <w:szCs w:val="24"/>
              </w:rPr>
              <w:t>Emotion and Self-Regulation</w:t>
            </w:r>
            <w:r w:rsidR="00496932" w:rsidRPr="00D4252A">
              <w:rPr>
                <w:rFonts w:eastAsia="Times New Roman" w:cs="Arial"/>
                <w:b/>
                <w:bCs/>
                <w:color w:val="7030A0"/>
                <w:sz w:val="22"/>
                <w:szCs w:val="24"/>
              </w:rPr>
              <w:t xml:space="preserve">: </w:t>
            </w:r>
            <w:r w:rsidR="00496932" w:rsidRPr="00D4252A">
              <w:rPr>
                <w:rFonts w:eastAsia="Times New Roman" w:cs="Arial"/>
                <w:bCs/>
                <w:color w:val="000000" w:themeColor="text1"/>
                <w:sz w:val="20"/>
                <w:szCs w:val="24"/>
              </w:rPr>
              <w:t xml:space="preserve">Children </w:t>
            </w:r>
            <w:r w:rsidRPr="00D4252A">
              <w:rPr>
                <w:rFonts w:eastAsia="Times New Roman" w:cs="Arial"/>
                <w:bCs/>
                <w:color w:val="000000" w:themeColor="text1"/>
                <w:sz w:val="20"/>
                <w:szCs w:val="24"/>
              </w:rPr>
              <w:t>express a range of emotions, and regulate their emotional and social responses</w:t>
            </w:r>
          </w:p>
          <w:p w:rsidR="00496932" w:rsidRPr="00D4252A" w:rsidRDefault="002D311F" w:rsidP="00496932">
            <w:pPr>
              <w:pStyle w:val="ListParagraph"/>
              <w:numPr>
                <w:ilvl w:val="0"/>
                <w:numId w:val="3"/>
              </w:numPr>
              <w:shd w:val="clear" w:color="auto" w:fill="F2E5FF"/>
              <w:outlineLvl w:val="0"/>
              <w:rPr>
                <w:rFonts w:eastAsia="Times New Roman" w:cs="Arial"/>
                <w:bCs/>
                <w:color w:val="000000" w:themeColor="text1"/>
                <w:sz w:val="20"/>
                <w:szCs w:val="24"/>
              </w:rPr>
            </w:pPr>
            <w:r w:rsidRPr="00D4252A">
              <w:rPr>
                <w:rFonts w:eastAsia="Times New Roman" w:cs="Arial"/>
                <w:b/>
                <w:bCs/>
                <w:color w:val="7030A0"/>
                <w:sz w:val="22"/>
                <w:szCs w:val="24"/>
              </w:rPr>
              <w:t>Self-Awareness</w:t>
            </w:r>
            <w:r w:rsidR="00496932" w:rsidRPr="00D4252A">
              <w:rPr>
                <w:rFonts w:eastAsia="Times New Roman" w:cs="Arial"/>
                <w:b/>
                <w:bCs/>
                <w:color w:val="7030A0"/>
                <w:sz w:val="22"/>
                <w:szCs w:val="24"/>
              </w:rPr>
              <w:t>:</w:t>
            </w:r>
            <w:r w:rsidR="00496932" w:rsidRPr="00D4252A">
              <w:rPr>
                <w:rFonts w:eastAsia="Times New Roman" w:cs="Arial"/>
                <w:bCs/>
                <w:color w:val="444444"/>
                <w:sz w:val="22"/>
                <w:szCs w:val="24"/>
              </w:rPr>
              <w:t xml:space="preserve"> </w:t>
            </w:r>
            <w:r w:rsidRPr="00D4252A">
              <w:rPr>
                <w:rFonts w:eastAsia="Times New Roman" w:cs="Arial"/>
                <w:bCs/>
                <w:color w:val="000000" w:themeColor="text1"/>
                <w:sz w:val="20"/>
                <w:szCs w:val="24"/>
              </w:rPr>
              <w:t>Children demonstrate awareness of personal characteristics, skills and abilities</w:t>
            </w:r>
          </w:p>
          <w:p w:rsidR="000A1F0D" w:rsidRPr="00D4252A" w:rsidRDefault="002D311F" w:rsidP="00496932">
            <w:pPr>
              <w:pStyle w:val="ListParagraph"/>
              <w:numPr>
                <w:ilvl w:val="0"/>
                <w:numId w:val="3"/>
              </w:numPr>
              <w:shd w:val="clear" w:color="auto" w:fill="F2E5FF"/>
              <w:outlineLvl w:val="0"/>
              <w:rPr>
                <w:rFonts w:eastAsia="Times New Roman" w:cs="Arial"/>
                <w:b/>
                <w:bCs/>
                <w:color w:val="444444"/>
                <w:sz w:val="22"/>
                <w:szCs w:val="24"/>
              </w:rPr>
            </w:pPr>
            <w:r w:rsidRPr="00D4252A">
              <w:rPr>
                <w:rFonts w:eastAsia="Times New Roman" w:cs="Arial"/>
                <w:b/>
                <w:bCs/>
                <w:color w:val="7030A0"/>
                <w:sz w:val="22"/>
                <w:szCs w:val="24"/>
              </w:rPr>
              <w:t>Relationships with Adults and Peers</w:t>
            </w:r>
            <w:r w:rsidR="00496932" w:rsidRPr="00D4252A">
              <w:rPr>
                <w:rFonts w:eastAsia="Times New Roman" w:cs="Arial"/>
                <w:b/>
                <w:bCs/>
                <w:color w:val="7030A0"/>
                <w:sz w:val="22"/>
                <w:szCs w:val="24"/>
              </w:rPr>
              <w:t>:</w:t>
            </w:r>
            <w:r w:rsidR="00496932" w:rsidRPr="00D4252A">
              <w:rPr>
                <w:rFonts w:eastAsia="Times New Roman" w:cs="Arial"/>
                <w:b/>
                <w:bCs/>
                <w:color w:val="444444"/>
                <w:sz w:val="22"/>
                <w:szCs w:val="24"/>
              </w:rPr>
              <w:t xml:space="preserve"> </w:t>
            </w:r>
            <w:r w:rsidR="00496932" w:rsidRPr="00D4252A">
              <w:rPr>
                <w:rFonts w:eastAsia="Times New Roman" w:cs="Arial"/>
                <w:bCs/>
                <w:color w:val="000000" w:themeColor="text1"/>
                <w:sz w:val="20"/>
                <w:szCs w:val="24"/>
              </w:rPr>
              <w:t xml:space="preserve">Children </w:t>
            </w:r>
            <w:r w:rsidRPr="00D4252A">
              <w:rPr>
                <w:rFonts w:eastAsia="Times New Roman" w:cs="Arial"/>
                <w:bCs/>
                <w:color w:val="000000" w:themeColor="text1"/>
                <w:sz w:val="20"/>
                <w:szCs w:val="24"/>
              </w:rPr>
              <w:t>develop healthy positive relationships with adults and peers</w:t>
            </w:r>
          </w:p>
          <w:p w:rsidR="00496932" w:rsidRPr="00625C61" w:rsidRDefault="00496932" w:rsidP="00496932">
            <w:pPr>
              <w:pStyle w:val="ListParagraph"/>
              <w:ind w:left="360"/>
              <w:outlineLvl w:val="0"/>
              <w:rPr>
                <w:rFonts w:eastAsia="Times New Roman" w:cs="Arial"/>
                <w:b/>
                <w:bCs/>
                <w:color w:val="444444"/>
                <w:sz w:val="20"/>
                <w:szCs w:val="24"/>
              </w:rPr>
            </w:pPr>
          </w:p>
          <w:p w:rsidR="002D311F" w:rsidRPr="002D311F" w:rsidRDefault="002D311F" w:rsidP="002D311F">
            <w:pPr>
              <w:outlineLvl w:val="1"/>
              <w:rPr>
                <w:b/>
                <w:color w:val="7030A0"/>
              </w:rPr>
            </w:pPr>
            <w:r w:rsidRPr="002D311F">
              <w:rPr>
                <w:b/>
                <w:color w:val="7030A0"/>
              </w:rPr>
              <w:t>Diversity-Informed Infant Mental Health Tenets</w:t>
            </w:r>
            <w:r>
              <w:rPr>
                <w:b/>
                <w:color w:val="7030A0"/>
              </w:rPr>
              <w:t xml:space="preserve"> </w:t>
            </w:r>
            <w:r w:rsidRPr="002D311F">
              <w:rPr>
                <w:color w:val="000000" w:themeColor="text1"/>
              </w:rPr>
              <w:t>(birth – 12 months)</w:t>
            </w:r>
          </w:p>
          <w:p w:rsidR="00552DB1" w:rsidRDefault="002D311F" w:rsidP="002D311F">
            <w:pPr>
              <w:outlineLvl w:val="1"/>
              <w:rPr>
                <w:b/>
                <w:color w:val="0000FF"/>
              </w:rPr>
            </w:pPr>
            <w:r w:rsidRPr="002D311F">
              <w:rPr>
                <w:rFonts w:cs="Calibri"/>
                <w:sz w:val="22"/>
              </w:rPr>
              <w:t>The Tenets are a set of guiding principles that raise awareness about inequities and injustices embedded in our society.  The Tenets empower individual practitioners, agencies and systems of care to identify and address the social justice issues intricately intertwined with all infant mental health work.  The Tenets can be used to reflect on personal, team or organizational values and practices and to guide priorities for change and enhancement. They could also be applied to practices for supporting toddlers and families. The Tenets are available in English and Spanish at</w:t>
            </w:r>
            <w:r w:rsidRPr="002D311F">
              <w:rPr>
                <w:rFonts w:eastAsia="Times New Roman"/>
                <w:bCs/>
                <w:sz w:val="20"/>
                <w:szCs w:val="20"/>
              </w:rPr>
              <w:t xml:space="preserve"> </w:t>
            </w:r>
            <w:hyperlink r:id="rId6" w:history="1">
              <w:r w:rsidRPr="00552DB1">
                <w:rPr>
                  <w:b/>
                  <w:color w:val="0000FF"/>
                  <w:sz w:val="22"/>
                </w:rPr>
                <w:t>https://imhdivtenets.org/</w:t>
              </w:r>
            </w:hyperlink>
            <w:r>
              <w:rPr>
                <w:b/>
                <w:color w:val="0000FF"/>
              </w:rPr>
              <w:t xml:space="preserve"> </w:t>
            </w:r>
          </w:p>
          <w:p w:rsidR="00552DB1" w:rsidRPr="00552DB1" w:rsidRDefault="00552DB1" w:rsidP="002D311F">
            <w:pPr>
              <w:outlineLvl w:val="1"/>
              <w:rPr>
                <w:sz w:val="8"/>
                <w:szCs w:val="8"/>
              </w:rPr>
            </w:pPr>
          </w:p>
          <w:p w:rsidR="002D311F" w:rsidRPr="00625C61" w:rsidRDefault="002D311F" w:rsidP="002D311F">
            <w:pPr>
              <w:outlineLvl w:val="1"/>
              <w:rPr>
                <w:sz w:val="22"/>
              </w:rPr>
            </w:pPr>
            <w:r w:rsidRPr="00625C61">
              <w:rPr>
                <w:sz w:val="22"/>
              </w:rPr>
              <w:t xml:space="preserve">NOTE: To access the November 2012 issue of </w:t>
            </w:r>
            <w:r w:rsidRPr="00625C61">
              <w:rPr>
                <w:i/>
                <w:sz w:val="22"/>
              </w:rPr>
              <w:t>ZERO TO THREE</w:t>
            </w:r>
            <w:r w:rsidRPr="00625C61">
              <w:rPr>
                <w:sz w:val="22"/>
              </w:rPr>
              <w:t xml:space="preserve">, </w:t>
            </w:r>
            <w:r w:rsidR="00552DB1" w:rsidRPr="00625C61">
              <w:rPr>
                <w:sz w:val="22"/>
              </w:rPr>
              <w:t>with</w:t>
            </w:r>
            <w:r w:rsidRPr="00625C61">
              <w:rPr>
                <w:sz w:val="22"/>
              </w:rPr>
              <w:t xml:space="preserve"> additional information on infant mental health, go to </w:t>
            </w:r>
            <w:hyperlink r:id="rId7" w:anchor="/1/OnePage" w:history="1">
              <w:r w:rsidRPr="00625C61">
                <w:rPr>
                  <w:b/>
                  <w:color w:val="0000FF"/>
                  <w:sz w:val="22"/>
                </w:rPr>
                <w:t>http://www.nxtbook.com/nxtbooks/zerotothree/201211/#/1/OnePage</w:t>
              </w:r>
            </w:hyperlink>
            <w:r w:rsidRPr="00625C61">
              <w:rPr>
                <w:b/>
                <w:sz w:val="22"/>
              </w:rPr>
              <w:t xml:space="preserve"> </w:t>
            </w:r>
          </w:p>
          <w:p w:rsidR="002D311F" w:rsidRDefault="002D311F" w:rsidP="00023C3D">
            <w:pPr>
              <w:textAlignment w:val="baseline"/>
              <w:rPr>
                <w:b/>
                <w:color w:val="7030A0"/>
                <w:sz w:val="20"/>
                <w:szCs w:val="20"/>
              </w:rPr>
            </w:pPr>
          </w:p>
          <w:p w:rsidR="00D5218B" w:rsidRPr="00D5218B" w:rsidRDefault="00D5218B" w:rsidP="00D5218B">
            <w:pPr>
              <w:rPr>
                <w:b/>
              </w:rPr>
            </w:pPr>
            <w:r w:rsidRPr="00D5218B">
              <w:rPr>
                <w:b/>
                <w:color w:val="7030A0"/>
              </w:rPr>
              <w:t>What You See Doesn’t Always Show What’s Beneath</w:t>
            </w:r>
            <w:r w:rsidRPr="00D5218B">
              <w:rPr>
                <w:b/>
              </w:rPr>
              <w:t xml:space="preserve"> </w:t>
            </w:r>
            <w:r w:rsidRPr="00D5218B">
              <w:rPr>
                <w:color w:val="000000" w:themeColor="text1"/>
              </w:rPr>
              <w:t>(3-5)</w:t>
            </w:r>
          </w:p>
          <w:p w:rsidR="00D5218B" w:rsidRPr="00D5218B" w:rsidRDefault="00D5218B" w:rsidP="00D5218B">
            <w:pPr>
              <w:rPr>
                <w:rFonts w:cs="Helvetica"/>
                <w:color w:val="222222"/>
                <w:sz w:val="22"/>
                <w:szCs w:val="18"/>
                <w:lang w:val="en"/>
              </w:rPr>
            </w:pPr>
            <w:r w:rsidRPr="00D5218B">
              <w:rPr>
                <w:rFonts w:cs="Helvetica"/>
                <w:color w:val="222222"/>
                <w:sz w:val="22"/>
                <w:szCs w:val="18"/>
                <w:lang w:val="en"/>
              </w:rPr>
              <w:t>Children's behavior and social-emotional competence is linked to their home culture. This webinar and companion resources show how they are linked to culture and provides examples of behavioral and social competence diversity. The content also covers how to assess and address behavior in ways that are appropriate to children's cultures.</w:t>
            </w:r>
          </w:p>
          <w:p w:rsidR="00D5218B" w:rsidRDefault="00DE6322" w:rsidP="00D5218B">
            <w:pPr>
              <w:rPr>
                <w:rFonts w:cs="Calibri"/>
                <w:b/>
                <w:color w:val="0000FF"/>
                <w:sz w:val="20"/>
              </w:rPr>
            </w:pPr>
            <w:hyperlink r:id="rId8" w:history="1">
              <w:r w:rsidR="00D5218B" w:rsidRPr="00D5218B">
                <w:rPr>
                  <w:rFonts w:cs="Calibri"/>
                  <w:b/>
                  <w:color w:val="0000FF"/>
                  <w:sz w:val="20"/>
                </w:rPr>
                <w:t>https://eclkc.ohs.acf.hhs.gov/hslc/tta-system/teaching/practice/fp/fpArchive2014.html</w:t>
              </w:r>
            </w:hyperlink>
          </w:p>
          <w:p w:rsidR="00D4252A" w:rsidRPr="00D5218B" w:rsidRDefault="00D4252A" w:rsidP="00D5218B">
            <w:pPr>
              <w:rPr>
                <w:rFonts w:cs="Calibri"/>
                <w:b/>
                <w:sz w:val="20"/>
              </w:rPr>
            </w:pPr>
          </w:p>
          <w:p w:rsidR="00D5218B" w:rsidRPr="00D5218B" w:rsidRDefault="00D5218B" w:rsidP="00E03793">
            <w:pPr>
              <w:outlineLvl w:val="2"/>
              <w:rPr>
                <w:b/>
                <w:color w:val="7030A0"/>
              </w:rPr>
            </w:pPr>
            <w:r w:rsidRPr="00D5218B">
              <w:rPr>
                <w:b/>
                <w:color w:val="7030A0"/>
              </w:rPr>
              <w:t xml:space="preserve">Thoughtful Transitions Reduce Traffic Jams and Challenges </w:t>
            </w:r>
            <w:r w:rsidR="00E03793" w:rsidRPr="00E03793">
              <w:rPr>
                <w:color w:val="000000" w:themeColor="text1"/>
              </w:rPr>
              <w:t>(3-5)</w:t>
            </w:r>
          </w:p>
          <w:p w:rsidR="00D5218B" w:rsidRPr="00E03793" w:rsidRDefault="00D5218B" w:rsidP="00E03793">
            <w:pPr>
              <w:rPr>
                <w:rFonts w:asciiTheme="minorHAnsi" w:eastAsia="Times New Roman" w:hAnsiTheme="minorHAnsi"/>
                <w:sz w:val="22"/>
                <w:szCs w:val="24"/>
              </w:rPr>
            </w:pPr>
            <w:r w:rsidRPr="00D5218B">
              <w:rPr>
                <w:rFonts w:eastAsia="Times New Roman"/>
                <w:noProof/>
                <w:szCs w:val="24"/>
              </w:rPr>
              <w:drawing>
                <wp:anchor distT="0" distB="0" distL="114300" distR="114300" simplePos="0" relativeHeight="251661312" behindDoc="1" locked="0" layoutInCell="1" allowOverlap="1" wp14:anchorId="30BEF4DF" wp14:editId="28C4E961">
                  <wp:simplePos x="0" y="0"/>
                  <wp:positionH relativeFrom="column">
                    <wp:posOffset>48895</wp:posOffset>
                  </wp:positionH>
                  <wp:positionV relativeFrom="paragraph">
                    <wp:posOffset>95250</wp:posOffset>
                  </wp:positionV>
                  <wp:extent cx="1316355" cy="977900"/>
                  <wp:effectExtent l="0" t="0" r="0" b="0"/>
                  <wp:wrapTight wrapText="right">
                    <wp:wrapPolygon edited="0">
                      <wp:start x="0" y="0"/>
                      <wp:lineTo x="0" y="21039"/>
                      <wp:lineTo x="21256" y="21039"/>
                      <wp:lineTo x="21256" y="0"/>
                      <wp:lineTo x="0" y="0"/>
                    </wp:wrapPolygon>
                  </wp:wrapTight>
                  <wp:docPr id="2" name="Picture 2" descr="Make N Take-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N Take-Transi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6355"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18B">
              <w:rPr>
                <w:rFonts w:asciiTheme="minorHAnsi" w:eastAsia="Times New Roman" w:hAnsiTheme="minorHAnsi"/>
                <w:sz w:val="22"/>
                <w:szCs w:val="24"/>
              </w:rPr>
              <w:t>This three-hour make-and-take workshop provides teachers with tools and strategies to use when teaching children how to transition between activities and places within the early childhood environment. The workshop includes all presentation materials, embedded videos, handouts, and colorful patterns for activities and props. Participants will learn about tools to reduce challenges with transitions, strategies to assist in actively engaging children during transitions, and individualized transition strategies for children in need of additional supports. As a result of implementing these strategies, children are happier moving from place to place, are actively engaged, and know exactly what is expected as they successfully transition.</w:t>
            </w:r>
          </w:p>
          <w:p w:rsidR="00D5218B" w:rsidRPr="00E03793" w:rsidRDefault="00DE6322" w:rsidP="00E03793">
            <w:pPr>
              <w:rPr>
                <w:rFonts w:asciiTheme="minorHAnsi" w:eastAsia="Times New Roman" w:hAnsiTheme="minorHAnsi"/>
                <w:b/>
                <w:sz w:val="22"/>
                <w:szCs w:val="24"/>
              </w:rPr>
            </w:pPr>
            <w:hyperlink r:id="rId10" w:history="1">
              <w:r w:rsidR="00D5218B" w:rsidRPr="00E03793">
                <w:rPr>
                  <w:rStyle w:val="Hyperlink"/>
                  <w:rFonts w:eastAsia="Times New Roman"/>
                  <w:b/>
                  <w:sz w:val="22"/>
                  <w:szCs w:val="24"/>
                  <w:u w:val="none"/>
                </w:rPr>
                <w:t>http://challengingbehavior.fmhi.usf.edu/communities/make_n_take/make_n_take_home.html</w:t>
              </w:r>
            </w:hyperlink>
          </w:p>
          <w:p w:rsidR="008E4F3C" w:rsidRPr="003C2D03" w:rsidRDefault="008E4F3C" w:rsidP="00D4252A">
            <w:pPr>
              <w:outlineLvl w:val="2"/>
              <w:rPr>
                <w:b/>
                <w:color w:val="7030A0"/>
                <w:sz w:val="20"/>
              </w:rPr>
            </w:pPr>
          </w:p>
          <w:p w:rsidR="00D4252A" w:rsidRPr="00D5218B" w:rsidRDefault="00E03793" w:rsidP="00D4252A">
            <w:pPr>
              <w:outlineLvl w:val="2"/>
              <w:rPr>
                <w:b/>
                <w:color w:val="7030A0"/>
              </w:rPr>
            </w:pPr>
            <w:r w:rsidRPr="00D4252A">
              <w:rPr>
                <w:b/>
                <w:color w:val="7030A0"/>
              </w:rPr>
              <w:t>Designing Environments</w:t>
            </w:r>
            <w:r w:rsidR="00D4252A">
              <w:rPr>
                <w:b/>
                <w:color w:val="7030A0"/>
              </w:rPr>
              <w:t xml:space="preserve"> </w:t>
            </w:r>
            <w:r w:rsidR="00D4252A" w:rsidRPr="00E03793">
              <w:rPr>
                <w:color w:val="000000" w:themeColor="text1"/>
              </w:rPr>
              <w:t>(3-5)</w:t>
            </w:r>
          </w:p>
          <w:p w:rsidR="00E03793" w:rsidRPr="00D4252A" w:rsidRDefault="00E03793" w:rsidP="00D4252A">
            <w:pPr>
              <w:rPr>
                <w:sz w:val="22"/>
              </w:rPr>
            </w:pPr>
            <w:r w:rsidRPr="00D4252A">
              <w:rPr>
                <w:rFonts w:asciiTheme="minorHAnsi" w:eastAsia="Times New Roman" w:hAnsiTheme="minorHAnsi"/>
                <w:sz w:val="22"/>
                <w:szCs w:val="24"/>
              </w:rPr>
              <w:t xml:space="preserve">This set of materials (video, tips for teachers, tips for families, tips for supervisors) emphasizes features of the </w:t>
            </w:r>
            <w:r w:rsidRPr="00D4252A">
              <w:rPr>
                <w:sz w:val="22"/>
              </w:rPr>
              <w:t>physical and social classroom environment that maximize young children's engagement and learning.</w:t>
            </w:r>
            <w:r w:rsidR="00D4252A" w:rsidRPr="00D4252A">
              <w:rPr>
                <w:sz w:val="22"/>
              </w:rPr>
              <w:t xml:space="preserve"> Specific strategies for young dual language learners are included.</w:t>
            </w:r>
          </w:p>
          <w:p w:rsidR="00D4252A" w:rsidRPr="00D4252A" w:rsidRDefault="00D4252A" w:rsidP="00D4252A">
            <w:pPr>
              <w:rPr>
                <w:rFonts w:asciiTheme="minorHAnsi" w:eastAsia="Times New Roman" w:hAnsiTheme="minorHAnsi"/>
                <w:b/>
                <w:sz w:val="22"/>
                <w:szCs w:val="24"/>
              </w:rPr>
            </w:pPr>
            <w:r w:rsidRPr="00AD74E7">
              <w:rPr>
                <w:rFonts w:ascii="Arial Black" w:hAnsi="Arial Black"/>
                <w:noProof/>
                <w:sz w:val="32"/>
              </w:rPr>
              <w:drawing>
                <wp:anchor distT="0" distB="0" distL="114300" distR="114300" simplePos="0" relativeHeight="251660288" behindDoc="1" locked="0" layoutInCell="1" allowOverlap="1" wp14:anchorId="2539E3F7" wp14:editId="38EB3746">
                  <wp:simplePos x="0" y="0"/>
                  <wp:positionH relativeFrom="column">
                    <wp:posOffset>4319905</wp:posOffset>
                  </wp:positionH>
                  <wp:positionV relativeFrom="paragraph">
                    <wp:posOffset>-491490</wp:posOffset>
                  </wp:positionV>
                  <wp:extent cx="2304415" cy="1014095"/>
                  <wp:effectExtent l="0" t="0" r="635" b="0"/>
                  <wp:wrapTight wrapText="bothSides">
                    <wp:wrapPolygon edited="0">
                      <wp:start x="0" y="0"/>
                      <wp:lineTo x="0" y="21100"/>
                      <wp:lineTo x="21427" y="21100"/>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4415" cy="1014095"/>
                          </a:xfrm>
                          <a:prstGeom prst="rect">
                            <a:avLst/>
                          </a:prstGeom>
                          <a:noFill/>
                        </pic:spPr>
                      </pic:pic>
                    </a:graphicData>
                  </a:graphic>
                  <wp14:sizeRelH relativeFrom="page">
                    <wp14:pctWidth>0</wp14:pctWidth>
                  </wp14:sizeRelH>
                  <wp14:sizeRelV relativeFrom="page">
                    <wp14:pctHeight>0</wp14:pctHeight>
                  </wp14:sizeRelV>
                </wp:anchor>
              </w:drawing>
            </w:r>
            <w:hyperlink r:id="rId12" w:history="1">
              <w:r w:rsidRPr="00D4252A">
                <w:rPr>
                  <w:rStyle w:val="Hyperlink"/>
                  <w:rFonts w:eastAsia="Times New Roman"/>
                  <w:b/>
                  <w:sz w:val="22"/>
                  <w:szCs w:val="24"/>
                  <w:u w:val="none"/>
                </w:rPr>
                <w:t>https://eclkc.ohs.acf.hhs.gov/hslc/tta-system/teaching/practice/engage/iss/design.html</w:t>
              </w:r>
            </w:hyperlink>
          </w:p>
          <w:p w:rsidR="00D4252A" w:rsidRPr="00845BA2" w:rsidRDefault="00D4252A" w:rsidP="00D4252A">
            <w:pPr>
              <w:rPr>
                <w:rFonts w:asciiTheme="minorHAnsi" w:eastAsia="Times New Roman" w:hAnsiTheme="minorHAnsi"/>
                <w:sz w:val="8"/>
                <w:szCs w:val="24"/>
              </w:rPr>
            </w:pPr>
          </w:p>
          <w:p w:rsidR="00DE6322" w:rsidRDefault="00DE6322" w:rsidP="00E03793">
            <w:pPr>
              <w:rPr>
                <w:b/>
                <w:color w:val="7030A0"/>
              </w:rPr>
            </w:pPr>
          </w:p>
          <w:p w:rsidR="003C0AC1" w:rsidRPr="003C0AC1" w:rsidRDefault="003C0AC1" w:rsidP="00E03793">
            <w:pPr>
              <w:rPr>
                <w:color w:val="000000" w:themeColor="text1"/>
              </w:rPr>
            </w:pPr>
            <w:bookmarkStart w:id="0" w:name="_GoBack"/>
            <w:bookmarkEnd w:id="0"/>
            <w:r>
              <w:rPr>
                <w:b/>
                <w:color w:val="7030A0"/>
              </w:rPr>
              <w:lastRenderedPageBreak/>
              <w:t xml:space="preserve">Center on the Social and Emotional Foundations for Early Learning (CSEFEL) </w:t>
            </w:r>
            <w:r w:rsidRPr="003C0AC1">
              <w:rPr>
                <w:color w:val="000000" w:themeColor="text1"/>
              </w:rPr>
              <w:t>(birth-5)</w:t>
            </w:r>
          </w:p>
          <w:p w:rsidR="003C0AC1" w:rsidRPr="003C0AC1" w:rsidRDefault="003C0AC1" w:rsidP="003C0AC1">
            <w:pPr>
              <w:pStyle w:val="NormalWeb"/>
              <w:spacing w:before="0" w:beforeAutospacing="0" w:after="0" w:afterAutospacing="0"/>
            </w:pPr>
            <w:r w:rsidRPr="003C0AC1">
              <w:rPr>
                <w:rFonts w:asciiTheme="minorHAnsi" w:hAnsiTheme="minorHAnsi"/>
                <w:sz w:val="22"/>
              </w:rPr>
              <w:t xml:space="preserve">One trip to the CSEFEL website </w:t>
            </w:r>
            <w:r>
              <w:rPr>
                <w:rFonts w:asciiTheme="minorHAnsi" w:hAnsiTheme="minorHAnsi"/>
                <w:sz w:val="22"/>
              </w:rPr>
              <w:t xml:space="preserve">will provide you with an endless supply of terrific free resources for supporting social and emotional development. You’ll find research, practical strategies (e.g., scripted stories), family tools, training kits, training modules, and videos. CSEFEL resources, many of which are available in Spanish, are designed for teachers/caregivers, trainers/coaches, families and state leaders. </w:t>
            </w:r>
            <w:hyperlink r:id="rId13" w:history="1">
              <w:r w:rsidRPr="003C0AC1">
                <w:rPr>
                  <w:rStyle w:val="Hyperlink"/>
                  <w:rFonts w:asciiTheme="minorHAnsi" w:hAnsiTheme="minorHAnsi"/>
                  <w:b/>
                  <w:sz w:val="22"/>
                  <w:u w:val="none"/>
                </w:rPr>
                <w:t>http://csefel.vanderbilt.edu/</w:t>
              </w:r>
            </w:hyperlink>
            <w:r w:rsidRPr="003C0AC1">
              <w:rPr>
                <w:rFonts w:asciiTheme="minorHAnsi" w:hAnsiTheme="minorHAnsi"/>
                <w:sz w:val="22"/>
              </w:rPr>
              <w:t xml:space="preserve"> </w:t>
            </w:r>
          </w:p>
          <w:p w:rsidR="003C0AC1" w:rsidRPr="00845BA2" w:rsidRDefault="003C0AC1" w:rsidP="00E03793">
            <w:pPr>
              <w:rPr>
                <w:rFonts w:asciiTheme="minorHAnsi" w:eastAsia="Times New Roman" w:hAnsiTheme="minorHAnsi"/>
                <w:sz w:val="8"/>
                <w:szCs w:val="24"/>
              </w:rPr>
            </w:pPr>
          </w:p>
          <w:p w:rsidR="00E03793" w:rsidRPr="00552DB1" w:rsidRDefault="00E03793" w:rsidP="00E03793">
            <w:pPr>
              <w:rPr>
                <w:color w:val="000000" w:themeColor="text1"/>
              </w:rPr>
            </w:pPr>
            <w:r w:rsidRPr="00552DB1">
              <w:rPr>
                <w:b/>
                <w:color w:val="7030A0"/>
              </w:rPr>
              <w:t>Measuring Elementary School Students’ Social and Emotional Skills: Providing Educators With Tools to Measure and Monitor Social and Emotional Skills That Lead to Academic Success</w:t>
            </w:r>
            <w:r w:rsidRPr="00552DB1">
              <w:rPr>
                <w:rFonts w:eastAsia="Times New Roman"/>
                <w:b/>
                <w:szCs w:val="24"/>
              </w:rPr>
              <w:t xml:space="preserve"> </w:t>
            </w:r>
            <w:r w:rsidRPr="00552DB1">
              <w:rPr>
                <w:color w:val="000000" w:themeColor="text1"/>
              </w:rPr>
              <w:t>(5-9)</w:t>
            </w:r>
          </w:p>
          <w:p w:rsidR="00E03793" w:rsidRPr="00D5218B" w:rsidRDefault="00E03793" w:rsidP="00E03793">
            <w:pPr>
              <w:rPr>
                <w:rFonts w:eastAsia="Times New Roman" w:cs="Arial"/>
                <w:sz w:val="22"/>
                <w:szCs w:val="30"/>
              </w:rPr>
            </w:pPr>
            <w:r>
              <w:rPr>
                <w:rFonts w:eastAsia="Times New Roman" w:cs="Arial"/>
                <w:sz w:val="22"/>
                <w:szCs w:val="30"/>
              </w:rPr>
              <w:t>This</w:t>
            </w:r>
            <w:r w:rsidRPr="00552DB1">
              <w:rPr>
                <w:rFonts w:eastAsia="Times New Roman" w:cs="Arial"/>
                <w:sz w:val="22"/>
                <w:szCs w:val="30"/>
              </w:rPr>
              <w:t xml:space="preserve"> resource was </w:t>
            </w:r>
            <w:r>
              <w:rPr>
                <w:rFonts w:eastAsia="Times New Roman" w:cs="Arial"/>
                <w:sz w:val="22"/>
                <w:szCs w:val="30"/>
              </w:rPr>
              <w:t>created</w:t>
            </w:r>
            <w:r w:rsidRPr="00552DB1">
              <w:rPr>
                <w:rFonts w:eastAsia="Times New Roman" w:cs="Arial"/>
                <w:sz w:val="22"/>
                <w:szCs w:val="30"/>
              </w:rPr>
              <w:t xml:space="preserve"> to </w:t>
            </w:r>
            <w:r>
              <w:rPr>
                <w:rFonts w:eastAsia="Times New Roman" w:cs="Arial"/>
                <w:sz w:val="22"/>
                <w:szCs w:val="30"/>
              </w:rPr>
              <w:t xml:space="preserve">help </w:t>
            </w:r>
            <w:r w:rsidRPr="00552DB1">
              <w:rPr>
                <w:rFonts w:eastAsia="Times New Roman" w:cs="Arial"/>
                <w:sz w:val="22"/>
                <w:szCs w:val="30"/>
              </w:rPr>
              <w:t xml:space="preserve">assess and monitor the extent to which improvements are being achieved for low-income students in the social and emotional skills associated with success in school and life. A secondary goal was to provide these tools and related guidance to educators who share a desire to strengthen students’ social and emotional skills as a strategy for supporting their success. </w:t>
            </w:r>
          </w:p>
          <w:p w:rsidR="00E03793" w:rsidRPr="003C0AC1" w:rsidRDefault="00DE6322" w:rsidP="00E03793">
            <w:pPr>
              <w:rPr>
                <w:rFonts w:eastAsia="Times New Roman"/>
                <w:b/>
                <w:sz w:val="22"/>
              </w:rPr>
            </w:pPr>
            <w:hyperlink r:id="rId14" w:history="1">
              <w:r w:rsidR="00E03793" w:rsidRPr="003C0AC1">
                <w:rPr>
                  <w:rFonts w:eastAsia="Times New Roman"/>
                  <w:b/>
                  <w:color w:val="0000FF"/>
                  <w:sz w:val="22"/>
                </w:rPr>
                <w:t>http://www.childtrends.org/wp-content/uploads/2014/08/2014-37CombinedMeasuresApproachandTablepdf1.pdf</w:t>
              </w:r>
            </w:hyperlink>
          </w:p>
          <w:p w:rsidR="00353808" w:rsidRPr="00845BA2" w:rsidRDefault="00353808" w:rsidP="00023C3D">
            <w:pPr>
              <w:textAlignment w:val="baseline"/>
              <w:rPr>
                <w:b/>
                <w:color w:val="7030A0"/>
                <w:sz w:val="8"/>
              </w:rPr>
            </w:pPr>
          </w:p>
          <w:p w:rsidR="00D4252A" w:rsidRDefault="00DE6322" w:rsidP="00D4252A">
            <w:pPr>
              <w:rPr>
                <w:b/>
                <w:color w:val="7030A0"/>
              </w:rPr>
            </w:pPr>
            <w:hyperlink r:id="rId15" w:tgtFrame="_blank" w:history="1">
              <w:r w:rsidR="00D4252A" w:rsidRPr="00D4252A">
                <w:rPr>
                  <w:b/>
                  <w:color w:val="7030A0"/>
                </w:rPr>
                <w:t>Family Routine Based Support Guides</w:t>
              </w:r>
            </w:hyperlink>
            <w:r w:rsidR="00D4252A">
              <w:rPr>
                <w:b/>
                <w:color w:val="7030A0"/>
              </w:rPr>
              <w:t xml:space="preserve">: Early Elementary </w:t>
            </w:r>
            <w:r w:rsidR="00D4252A" w:rsidRPr="00D4252A">
              <w:rPr>
                <w:color w:val="000000" w:themeColor="text1"/>
              </w:rPr>
              <w:t>(4-8)</w:t>
            </w:r>
            <w:r w:rsidR="00D4252A" w:rsidRPr="00D4252A">
              <w:rPr>
                <w:b/>
                <w:color w:val="7030A0"/>
              </w:rPr>
              <w:t xml:space="preserve"> </w:t>
            </w:r>
          </w:p>
          <w:p w:rsidR="00D4252A" w:rsidRPr="00D4252A" w:rsidRDefault="00D4252A" w:rsidP="00D4252A">
            <w:pPr>
              <w:rPr>
                <w:rFonts w:eastAsia="Times New Roman"/>
                <w:sz w:val="22"/>
              </w:rPr>
            </w:pPr>
            <w:r>
              <w:rPr>
                <w:rFonts w:eastAsia="Times New Roman"/>
                <w:sz w:val="22"/>
              </w:rPr>
              <w:t>This guide was</w:t>
            </w:r>
            <w:r w:rsidRPr="00D4252A">
              <w:rPr>
                <w:rFonts w:eastAsia="Times New Roman"/>
                <w:sz w:val="22"/>
              </w:rPr>
              <w:t xml:space="preserve"> developed to assist family members and caregivers in building relationships </w:t>
            </w:r>
            <w:r>
              <w:rPr>
                <w:rFonts w:eastAsia="Times New Roman"/>
                <w:sz w:val="22"/>
              </w:rPr>
              <w:t xml:space="preserve">and supporting social-emotional competence </w:t>
            </w:r>
            <w:r w:rsidRPr="00D4252A">
              <w:rPr>
                <w:rFonts w:eastAsia="Times New Roman"/>
                <w:sz w:val="22"/>
              </w:rPr>
              <w:t>with young children</w:t>
            </w:r>
            <w:r>
              <w:rPr>
                <w:rFonts w:eastAsia="Times New Roman"/>
                <w:sz w:val="22"/>
              </w:rPr>
              <w:t>,</w:t>
            </w:r>
            <w:r w:rsidRPr="00D4252A">
              <w:rPr>
                <w:rFonts w:eastAsia="Times New Roman"/>
                <w:sz w:val="22"/>
              </w:rPr>
              <w:t xml:space="preserve"> as well as in developing supportive plans. </w:t>
            </w:r>
          </w:p>
          <w:p w:rsidR="00D4252A" w:rsidRDefault="00DE6322" w:rsidP="008E4F3C">
            <w:pPr>
              <w:tabs>
                <w:tab w:val="left" w:pos="9323"/>
              </w:tabs>
              <w:rPr>
                <w:rFonts w:eastAsia="Times New Roman" w:cs="Tahoma"/>
                <w:b/>
                <w:bCs/>
                <w:color w:val="0563C1"/>
                <w:sz w:val="20"/>
                <w:szCs w:val="20"/>
              </w:rPr>
            </w:pPr>
            <w:hyperlink r:id="rId16" w:history="1">
              <w:r w:rsidR="00D4252A" w:rsidRPr="008E4F3C">
                <w:rPr>
                  <w:rFonts w:eastAsia="Times New Roman" w:cs="Tahoma"/>
                  <w:b/>
                  <w:bCs/>
                  <w:color w:val="0563C1"/>
                  <w:sz w:val="22"/>
                  <w:szCs w:val="20"/>
                </w:rPr>
                <w:t>http://challengingbehavior.fmhi.usf.edu/do/resources/documents/tool_fam_routine_guide_early_ele.pdf</w:t>
              </w:r>
            </w:hyperlink>
            <w:r w:rsidR="008E4F3C">
              <w:rPr>
                <w:rFonts w:eastAsia="Times New Roman" w:cs="Tahoma"/>
                <w:b/>
                <w:bCs/>
                <w:color w:val="0563C1"/>
                <w:sz w:val="20"/>
                <w:szCs w:val="20"/>
              </w:rPr>
              <w:tab/>
            </w:r>
          </w:p>
          <w:p w:rsidR="008E4F3C" w:rsidRPr="00845BA2" w:rsidRDefault="008E4F3C" w:rsidP="008E4F3C">
            <w:pPr>
              <w:tabs>
                <w:tab w:val="left" w:pos="9323"/>
              </w:tabs>
              <w:rPr>
                <w:rFonts w:eastAsia="Times New Roman"/>
                <w:i/>
                <w:sz w:val="10"/>
                <w:szCs w:val="24"/>
              </w:rPr>
            </w:pPr>
          </w:p>
          <w:p w:rsidR="008E4F3C" w:rsidRDefault="008E4F3C" w:rsidP="008E4F3C">
            <w:pPr>
              <w:rPr>
                <w:rFonts w:eastAsia="Times New Roman" w:cs="Arial"/>
                <w:sz w:val="22"/>
                <w:szCs w:val="24"/>
              </w:rPr>
            </w:pPr>
            <w:r w:rsidRPr="008E4F3C">
              <w:rPr>
                <w:b/>
                <w:color w:val="7030A0"/>
              </w:rPr>
              <w:t>The Missing Piece: How Social and Emotional Learning Can Empower Children and Transform Schools</w:t>
            </w:r>
            <w:r w:rsidRPr="008E4F3C">
              <w:rPr>
                <w:rFonts w:eastAsia="Times New Roman" w:cs="Calibri"/>
                <w:b/>
                <w:bCs/>
                <w:kern w:val="36"/>
              </w:rPr>
              <w:t xml:space="preserve"> </w:t>
            </w:r>
            <w:r w:rsidRPr="008E4F3C">
              <w:rPr>
                <w:color w:val="000000" w:themeColor="text1"/>
              </w:rPr>
              <w:t>(3-9)</w:t>
            </w:r>
            <w:r w:rsidRPr="008E4F3C">
              <w:rPr>
                <w:rFonts w:eastAsia="Times New Roman" w:cs="Calibri"/>
                <w:b/>
                <w:bCs/>
                <w:color w:val="FF0000"/>
                <w:kern w:val="36"/>
              </w:rPr>
              <w:t xml:space="preserve"> </w:t>
            </w:r>
            <w:r w:rsidRPr="008E4F3C">
              <w:rPr>
                <w:rFonts w:eastAsia="Times New Roman" w:cs="Arial"/>
                <w:sz w:val="22"/>
                <w:szCs w:val="24"/>
              </w:rPr>
              <w:t>The national survey findings reported in this document have three major themes: (1) Teachers understand, value, and endorse social and emotional learning (SEL) for all students; (2) teachers believe SEL helps students achieve in school and life; and (3) teachers identify key accelerators for SEL. Throughout the report, the perspectives of teachers and what research tells us about various aspects of social and emotional learning are shared, including the importance of both adopting explicit evidence-based SEL strategies and integrating evidence-based SEL approaches.</w:t>
            </w:r>
          </w:p>
          <w:p w:rsidR="008E4F3C" w:rsidRPr="008E4F3C" w:rsidRDefault="00DE6322" w:rsidP="008E4F3C">
            <w:pPr>
              <w:rPr>
                <w:rFonts w:eastAsia="Times New Roman" w:cs="Calibri"/>
                <w:b/>
                <w:bCs/>
                <w:kern w:val="36"/>
                <w:sz w:val="20"/>
              </w:rPr>
            </w:pPr>
            <w:hyperlink r:id="rId17" w:history="1">
              <w:r w:rsidR="008E4F3C" w:rsidRPr="008E4F3C">
                <w:rPr>
                  <w:rFonts w:eastAsia="Times New Roman" w:cs="Calibri"/>
                  <w:b/>
                  <w:bCs/>
                  <w:color w:val="0000FF"/>
                  <w:kern w:val="36"/>
                  <w:sz w:val="22"/>
                </w:rPr>
                <w:t>https://static1.squarespace.com/static/513f79f9e4b05ce7b70e9673/t/526a2589e4b01768fee91a6a/1382688137983/the-missing-piece.pdf</w:t>
              </w:r>
            </w:hyperlink>
          </w:p>
          <w:p w:rsidR="008E4F3C" w:rsidRPr="00845BA2" w:rsidRDefault="008E4F3C" w:rsidP="008E4F3C">
            <w:pPr>
              <w:rPr>
                <w:rFonts w:eastAsia="Times New Roman" w:cs="Arial"/>
                <w:sz w:val="8"/>
                <w:szCs w:val="24"/>
              </w:rPr>
            </w:pPr>
          </w:p>
          <w:p w:rsidR="005A38BF" w:rsidRPr="00625C61" w:rsidRDefault="004752E0" w:rsidP="00B650C3">
            <w:pPr>
              <w:outlineLvl w:val="0"/>
              <w:rPr>
                <w:sz w:val="22"/>
              </w:rPr>
            </w:pPr>
            <w:r w:rsidRPr="00625C61">
              <w:rPr>
                <w:b/>
                <w:color w:val="7030A0"/>
                <w:sz w:val="22"/>
              </w:rPr>
              <w:t xml:space="preserve">Want more information about </w:t>
            </w:r>
            <w:r w:rsidR="00B650C3" w:rsidRPr="00625C61">
              <w:rPr>
                <w:b/>
                <w:color w:val="7030A0"/>
                <w:sz w:val="22"/>
              </w:rPr>
              <w:t>this domain?</w:t>
            </w:r>
            <w:r w:rsidR="00B650C3" w:rsidRPr="00625C61">
              <w:rPr>
                <w:sz w:val="22"/>
              </w:rPr>
              <w:t xml:space="preserve">  Check out the Vermont Early Learning Standards (VELS) online at </w:t>
            </w:r>
            <w:hyperlink r:id="rId18" w:tgtFrame="_blank" w:history="1">
              <w:r w:rsidR="003C0AC1" w:rsidRPr="003C0AC1">
                <w:rPr>
                  <w:rFonts w:eastAsiaTheme="minorHAnsi" w:cstheme="minorBidi"/>
                  <w:b/>
                  <w:color w:val="0000FF"/>
                  <w:sz w:val="22"/>
                </w:rPr>
                <w:t>http://education.vermont.gov/student-support/early-education/vermont-early-learning-standards</w:t>
              </w:r>
            </w:hyperlink>
            <w:r w:rsidR="00B650C3" w:rsidRPr="003C0AC1">
              <w:rPr>
                <w:b/>
                <w:sz w:val="22"/>
              </w:rPr>
              <w:t xml:space="preserve"> </w:t>
            </w:r>
            <w:r w:rsidR="00B650C3" w:rsidRPr="00625C61">
              <w:rPr>
                <w:sz w:val="22"/>
              </w:rPr>
              <w:t xml:space="preserve"> The </w:t>
            </w:r>
            <w:r w:rsidR="002D311F" w:rsidRPr="00625C61">
              <w:rPr>
                <w:sz w:val="22"/>
              </w:rPr>
              <w:t>Social and Emotional Learning and Development</w:t>
            </w:r>
            <w:r w:rsidR="00B650C3" w:rsidRPr="00625C61">
              <w:rPr>
                <w:sz w:val="22"/>
              </w:rPr>
              <w:t xml:space="preserve"> section starts on page </w:t>
            </w:r>
            <w:r w:rsidR="002D311F" w:rsidRPr="00625C61">
              <w:rPr>
                <w:sz w:val="22"/>
              </w:rPr>
              <w:t>30</w:t>
            </w:r>
            <w:r w:rsidR="00B650C3" w:rsidRPr="00625C61">
              <w:rPr>
                <w:sz w:val="22"/>
              </w:rPr>
              <w:t>.</w:t>
            </w:r>
          </w:p>
          <w:p w:rsidR="005C0B96" w:rsidRPr="00845BA2" w:rsidRDefault="005C0B96" w:rsidP="005C0B96">
            <w:pPr>
              <w:pStyle w:val="NormalWeb"/>
              <w:spacing w:before="0" w:beforeAutospacing="0" w:after="0" w:afterAutospacing="0"/>
              <w:rPr>
                <w:rFonts w:asciiTheme="minorHAnsi" w:hAnsiTheme="minorHAnsi" w:cs="Arial"/>
                <w:b/>
                <w:bCs/>
                <w:color w:val="444444"/>
                <w:sz w:val="8"/>
              </w:rPr>
            </w:pPr>
          </w:p>
          <w:p w:rsidR="00023C3D" w:rsidRPr="00625C61" w:rsidRDefault="00B650C3" w:rsidP="00843E45">
            <w:pPr>
              <w:pStyle w:val="NormalWeb"/>
              <w:spacing w:before="0" w:beforeAutospacing="0" w:after="0" w:afterAutospacing="0"/>
              <w:rPr>
                <w:rFonts w:ascii="Calibri" w:eastAsia="Calibri" w:hAnsi="Calibri"/>
                <w:sz w:val="22"/>
                <w:szCs w:val="22"/>
              </w:rPr>
            </w:pPr>
            <w:r w:rsidRPr="00625C61">
              <w:rPr>
                <w:rFonts w:ascii="Calibri" w:eastAsia="Calibri" w:hAnsi="Calibri"/>
                <w:b/>
                <w:color w:val="7030A0"/>
                <w:sz w:val="22"/>
                <w:szCs w:val="22"/>
              </w:rPr>
              <w:t xml:space="preserve">Want more free resources related to this domain? </w:t>
            </w:r>
            <w:r w:rsidRPr="00625C61">
              <w:rPr>
                <w:rFonts w:ascii="Calibri" w:eastAsia="Calibri" w:hAnsi="Calibri"/>
                <w:sz w:val="22"/>
                <w:szCs w:val="22"/>
              </w:rPr>
              <w:t xml:space="preserve">An annotated collection of free resources related to </w:t>
            </w:r>
            <w:r w:rsidR="003C0AC1">
              <w:rPr>
                <w:rFonts w:ascii="Calibri" w:eastAsia="Calibri" w:hAnsi="Calibri"/>
                <w:sz w:val="22"/>
                <w:szCs w:val="22"/>
              </w:rPr>
              <w:t>social and emotional learning and development</w:t>
            </w:r>
            <w:r w:rsidRPr="00625C61">
              <w:rPr>
                <w:rFonts w:ascii="Calibri" w:eastAsia="Calibri" w:hAnsi="Calibri"/>
                <w:sz w:val="22"/>
                <w:szCs w:val="22"/>
              </w:rPr>
              <w:t xml:space="preserve"> is available at </w:t>
            </w:r>
            <w:hyperlink r:id="rId19" w:history="1">
              <w:r w:rsidRPr="00625C61">
                <w:rPr>
                  <w:rStyle w:val="Hyperlink"/>
                  <w:rFonts w:ascii="Calibri" w:eastAsia="Calibri" w:hAnsi="Calibri"/>
                  <w:b/>
                  <w:sz w:val="22"/>
                  <w:szCs w:val="22"/>
                  <w:u w:val="none"/>
                </w:rPr>
                <w:t>http://fpg.unc.edu/presentations/vels-institute</w:t>
              </w:r>
            </w:hyperlink>
            <w:r w:rsidR="00023C3D" w:rsidRPr="00625C61">
              <w:rPr>
                <w:rFonts w:ascii="Calibri" w:eastAsia="Calibri" w:hAnsi="Calibri"/>
                <w:b/>
                <w:sz w:val="22"/>
                <w:szCs w:val="22"/>
              </w:rPr>
              <w:t xml:space="preserve">  </w:t>
            </w:r>
            <w:r w:rsidRPr="00625C61">
              <w:rPr>
                <w:rFonts w:ascii="Calibri" w:eastAsia="Calibri" w:hAnsi="Calibri"/>
                <w:sz w:val="22"/>
                <w:szCs w:val="22"/>
              </w:rPr>
              <w:t xml:space="preserve">It includes free evidence sources, print materials, videos, websites and more. </w:t>
            </w:r>
          </w:p>
          <w:p w:rsidR="00843E45" w:rsidRPr="008F6950" w:rsidRDefault="00843E45" w:rsidP="00843E45">
            <w:pPr>
              <w:pStyle w:val="NormalWeb"/>
              <w:spacing w:before="0" w:beforeAutospacing="0" w:after="0" w:afterAutospacing="0"/>
              <w:rPr>
                <w:rFonts w:ascii="Calibri" w:eastAsia="Calibri" w:hAnsi="Calibri"/>
                <w:b/>
                <w:color w:val="7030A0"/>
                <w:sz w:val="8"/>
                <w:szCs w:val="22"/>
              </w:rPr>
            </w:pPr>
          </w:p>
        </w:tc>
      </w:tr>
      <w:tr w:rsidR="00E91C77" w:rsidRPr="003D7C35" w:rsidTr="008E4F3C">
        <w:tc>
          <w:tcPr>
            <w:tcW w:w="10980" w:type="dxa"/>
            <w:gridSpan w:val="2"/>
            <w:tcBorders>
              <w:top w:val="single" w:sz="4" w:space="0" w:color="auto"/>
              <w:left w:val="single" w:sz="4" w:space="0" w:color="auto"/>
              <w:bottom w:val="single" w:sz="4" w:space="0" w:color="auto"/>
              <w:right w:val="single" w:sz="4" w:space="0" w:color="auto"/>
            </w:tcBorders>
            <w:shd w:val="clear" w:color="auto" w:fill="F2E5FF"/>
            <w:hideMark/>
          </w:tcPr>
          <w:p w:rsidR="00702DD2" w:rsidRPr="00496932" w:rsidRDefault="00702DD2" w:rsidP="00023C3D">
            <w:pPr>
              <w:rPr>
                <w:noProof/>
                <w:sz w:val="22"/>
              </w:rPr>
            </w:pPr>
            <w:r w:rsidRPr="00496932">
              <w:rPr>
                <w:b/>
                <w:noProof/>
                <w:color w:val="7030A0"/>
                <w:sz w:val="22"/>
              </w:rPr>
              <w:lastRenderedPageBreak/>
              <w:t>The Right Stuff</w:t>
            </w:r>
            <w:r w:rsidR="00E91C77" w:rsidRPr="00496932">
              <w:rPr>
                <w:noProof/>
                <w:color w:val="7030A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Pr="00496932">
              <w:rPr>
                <w:b/>
                <w:noProof/>
                <w:color w:val="7030A0"/>
                <w:sz w:val="22"/>
              </w:rPr>
              <w:t>The Right Stuff</w:t>
            </w:r>
            <w:r w:rsidRPr="00496932">
              <w:rPr>
                <w:noProof/>
                <w:sz w:val="22"/>
              </w:rPr>
              <w:t xml:space="preserve"> may be freely shared or reproduced. </w:t>
            </w:r>
          </w:p>
          <w:p w:rsidR="00023C3D" w:rsidRPr="003C0AC1" w:rsidRDefault="00023C3D" w:rsidP="00023C3D">
            <w:pPr>
              <w:rPr>
                <w:noProof/>
                <w:sz w:val="12"/>
              </w:rPr>
            </w:pPr>
          </w:p>
          <w:p w:rsidR="00023C3D" w:rsidRPr="00496932" w:rsidRDefault="00023C3D" w:rsidP="00023C3D">
            <w:pPr>
              <w:autoSpaceDE w:val="0"/>
              <w:autoSpaceDN w:val="0"/>
              <w:adjustRightInd w:val="0"/>
              <w:rPr>
                <w:rFonts w:cs="Garamond-BookCondensed"/>
                <w:sz w:val="22"/>
              </w:rPr>
            </w:pPr>
            <w:r w:rsidRPr="00496932">
              <w:rPr>
                <w:b/>
                <w:noProof/>
                <w:color w:val="7030A0"/>
                <w:sz w:val="22"/>
              </w:rPr>
              <w:t>The Right Stuff</w:t>
            </w:r>
            <w:r w:rsidRPr="00496932">
              <w:rPr>
                <w:noProof/>
                <w:color w:val="7030A0"/>
                <w:sz w:val="22"/>
              </w:rPr>
              <w:t xml:space="preserve"> </w:t>
            </w:r>
            <w:r w:rsidR="00F97C8B" w:rsidRPr="00496932">
              <w:rPr>
                <w:rFonts w:cs="Garamond-BookCondensed"/>
                <w:sz w:val="22"/>
              </w:rPr>
              <w:t>i</w:t>
            </w:r>
            <w:r w:rsidRPr="00496932">
              <w:rPr>
                <w:rFonts w:cs="Garamond-BookCondensed"/>
                <w:sz w:val="22"/>
              </w:rPr>
              <w:t>s compiled by Camille Catlett</w:t>
            </w:r>
            <w:r w:rsidR="00D5307A" w:rsidRPr="00496932">
              <w:rPr>
                <w:rFonts w:cs="Garamond-BookCondensed"/>
                <w:sz w:val="22"/>
              </w:rPr>
              <w:t>. It is</w:t>
            </w:r>
            <w:r w:rsidRPr="00496932">
              <w:rPr>
                <w:rFonts w:cs="Garamond-BookCondensed"/>
                <w:sz w:val="22"/>
              </w:rPr>
              <w:t xml:space="preserve"> supported by a contract from the Vermont Agency of Education. Funding </w:t>
            </w:r>
            <w:r w:rsidR="00F97C8B" w:rsidRPr="00496932">
              <w:rPr>
                <w:rFonts w:cs="Garamond-BookCondensed"/>
                <w:sz w:val="22"/>
              </w:rPr>
              <w:t>i</w:t>
            </w:r>
            <w:r w:rsidRPr="00496932">
              <w:rPr>
                <w:rFonts w:cs="Garamond-BookCondensed"/>
                <w:sz w:val="22"/>
              </w:rPr>
              <w:t>s provided through the Vermont Race to the Top Early Learning Challenge Grant.</w:t>
            </w:r>
          </w:p>
          <w:p w:rsidR="00702DD2" w:rsidRPr="00845BA2" w:rsidRDefault="00702DD2" w:rsidP="00023C3D">
            <w:pPr>
              <w:rPr>
                <w:noProof/>
                <w:sz w:val="8"/>
              </w:rPr>
            </w:pPr>
          </w:p>
          <w:p w:rsidR="00E91C77" w:rsidRPr="00496932" w:rsidRDefault="00E91C77" w:rsidP="00023C3D">
            <w:pPr>
              <w:rPr>
                <w:noProof/>
                <w:sz w:val="22"/>
              </w:rPr>
            </w:pPr>
            <w:r w:rsidRPr="00496932">
              <w:rPr>
                <w:noProof/>
                <w:sz w:val="22"/>
              </w:rPr>
              <w:t xml:space="preserve">To join the listserv, send an email </w:t>
            </w:r>
            <w:r w:rsidRPr="00496932">
              <w:rPr>
                <w:b/>
                <w:noProof/>
                <w:sz w:val="22"/>
              </w:rPr>
              <w:t>with no message</w:t>
            </w:r>
            <w:r w:rsidRPr="00496932">
              <w:rPr>
                <w:noProof/>
                <w:sz w:val="22"/>
              </w:rPr>
              <w:t xml:space="preserve"> to</w:t>
            </w:r>
            <w:r w:rsidR="00023C3D" w:rsidRPr="00496932">
              <w:rPr>
                <w:noProof/>
                <w:sz w:val="22"/>
              </w:rPr>
              <w:t xml:space="preserve"> </w:t>
            </w:r>
            <w:hyperlink r:id="rId20" w:history="1">
              <w:r w:rsidR="005E0D38" w:rsidRPr="005E0D38">
                <w:rPr>
                  <w:rFonts w:cs="Arial"/>
                  <w:b/>
                  <w:color w:val="000000"/>
                  <w:sz w:val="22"/>
                </w:rPr>
                <w:t>subscribe-the_right_stuff</w:t>
              </w:r>
              <w:r w:rsidR="009820C9">
                <w:rPr>
                  <w:rFonts w:cs="Arial"/>
                  <w:b/>
                  <w:color w:val="000000"/>
                  <w:sz w:val="22"/>
                </w:rPr>
                <w:t>_listserv</w:t>
              </w:r>
              <w:r w:rsidR="005E0D38" w:rsidRPr="005E0D38">
                <w:rPr>
                  <w:rFonts w:cs="Arial"/>
                  <w:b/>
                  <w:color w:val="000000"/>
                  <w:sz w:val="22"/>
                </w:rPr>
                <w:t>@listserv.unc.edu</w:t>
              </w:r>
            </w:hyperlink>
            <w:r w:rsidRPr="00496932">
              <w:rPr>
                <w:rFonts w:cs="Arial"/>
                <w:b/>
                <w:sz w:val="22"/>
              </w:rPr>
              <w:t xml:space="preserve">   </w:t>
            </w:r>
            <w:r w:rsidRPr="00496932">
              <w:rPr>
                <w:noProof/>
                <w:sz w:val="22"/>
              </w:rPr>
              <w:t xml:space="preserve">To suggest resources, please contact Camille Catlett at </w:t>
            </w:r>
            <w:hyperlink r:id="rId21" w:history="1">
              <w:r w:rsidRPr="00496932">
                <w:rPr>
                  <w:b/>
                  <w:noProof/>
                  <w:color w:val="0000FF"/>
                  <w:sz w:val="22"/>
                </w:rPr>
                <w:t>camille.catlett@unc.edu</w:t>
              </w:r>
            </w:hyperlink>
          </w:p>
        </w:tc>
      </w:tr>
    </w:tbl>
    <w:p w:rsidR="007F25F5" w:rsidRPr="007F25F5" w:rsidRDefault="007F25F5" w:rsidP="00845BA2">
      <w:pPr>
        <w:rPr>
          <w:rFonts w:ascii="Arial Black" w:hAnsi="Arial Black"/>
          <w:sz w:val="32"/>
        </w:rPr>
      </w:pPr>
    </w:p>
    <w:p w:rsidR="0092470D" w:rsidRPr="007F25F5" w:rsidRDefault="0092470D">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77"/>
    <w:rsid w:val="00006273"/>
    <w:rsid w:val="00023C3D"/>
    <w:rsid w:val="00051923"/>
    <w:rsid w:val="000A1F0D"/>
    <w:rsid w:val="000C1AB4"/>
    <w:rsid w:val="000D7900"/>
    <w:rsid w:val="00137633"/>
    <w:rsid w:val="00147C50"/>
    <w:rsid w:val="002D311F"/>
    <w:rsid w:val="00353808"/>
    <w:rsid w:val="00376B29"/>
    <w:rsid w:val="00383A3A"/>
    <w:rsid w:val="003C0AC1"/>
    <w:rsid w:val="003C2D03"/>
    <w:rsid w:val="003E594F"/>
    <w:rsid w:val="00435014"/>
    <w:rsid w:val="00437127"/>
    <w:rsid w:val="0046574E"/>
    <w:rsid w:val="004752E0"/>
    <w:rsid w:val="00496932"/>
    <w:rsid w:val="005046B7"/>
    <w:rsid w:val="005128CD"/>
    <w:rsid w:val="005138F0"/>
    <w:rsid w:val="0051577B"/>
    <w:rsid w:val="005217BF"/>
    <w:rsid w:val="00544E5A"/>
    <w:rsid w:val="00552DB1"/>
    <w:rsid w:val="005570D2"/>
    <w:rsid w:val="0055781D"/>
    <w:rsid w:val="005A38BF"/>
    <w:rsid w:val="005C0B96"/>
    <w:rsid w:val="005C5A43"/>
    <w:rsid w:val="005E0D38"/>
    <w:rsid w:val="005F45A5"/>
    <w:rsid w:val="00625C61"/>
    <w:rsid w:val="00657323"/>
    <w:rsid w:val="006921BB"/>
    <w:rsid w:val="00702DD2"/>
    <w:rsid w:val="0078649B"/>
    <w:rsid w:val="007A0529"/>
    <w:rsid w:val="007F25F5"/>
    <w:rsid w:val="0080002A"/>
    <w:rsid w:val="00843E45"/>
    <w:rsid w:val="00845BA2"/>
    <w:rsid w:val="008E4F3C"/>
    <w:rsid w:val="008F52B2"/>
    <w:rsid w:val="008F6950"/>
    <w:rsid w:val="00913BB1"/>
    <w:rsid w:val="0092470D"/>
    <w:rsid w:val="00947A02"/>
    <w:rsid w:val="00963F53"/>
    <w:rsid w:val="009820C9"/>
    <w:rsid w:val="00A0141F"/>
    <w:rsid w:val="00A3318A"/>
    <w:rsid w:val="00AB5B64"/>
    <w:rsid w:val="00AD74E7"/>
    <w:rsid w:val="00B650C3"/>
    <w:rsid w:val="00CD536C"/>
    <w:rsid w:val="00D4252A"/>
    <w:rsid w:val="00D5218B"/>
    <w:rsid w:val="00D5307A"/>
    <w:rsid w:val="00DD1614"/>
    <w:rsid w:val="00DE6322"/>
    <w:rsid w:val="00E03793"/>
    <w:rsid w:val="00E763DB"/>
    <w:rsid w:val="00E91C77"/>
    <w:rsid w:val="00EE4BD4"/>
    <w:rsid w:val="00F547D2"/>
    <w:rsid w:val="00F97C8B"/>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DB4A"/>
  <w15:docId w15:val="{75E07A72-AA7B-417A-B7C0-A787D1BB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kc.ohs.acf.hhs.gov/hslc/tta-system/teaching/practice/fp/fpArchive2014.html" TargetMode="External"/><Relationship Id="rId13" Type="http://schemas.openxmlformats.org/officeDocument/2006/relationships/hyperlink" Target="http://csefel.vanderbilt.edu/" TargetMode="External"/><Relationship Id="rId18" Type="http://schemas.openxmlformats.org/officeDocument/2006/relationships/hyperlink" Target="http://education.vermont.gov/student-support/early-education/vermont-early-learning-standards" TargetMode="External"/><Relationship Id="rId3" Type="http://schemas.openxmlformats.org/officeDocument/2006/relationships/settings" Target="settings.xml"/><Relationship Id="rId21" Type="http://schemas.openxmlformats.org/officeDocument/2006/relationships/hyperlink" Target="mailto:camille.catlett@unc.edu" TargetMode="External"/><Relationship Id="rId7" Type="http://schemas.openxmlformats.org/officeDocument/2006/relationships/hyperlink" Target="http://www.nxtbook.com/nxtbooks/zerotothree/201211/" TargetMode="External"/><Relationship Id="rId12" Type="http://schemas.openxmlformats.org/officeDocument/2006/relationships/hyperlink" Target="https://eclkc.ohs.acf.hhs.gov/hslc/tta-system/teaching/practice/engage/iss/design.html" TargetMode="External"/><Relationship Id="rId17" Type="http://schemas.openxmlformats.org/officeDocument/2006/relationships/hyperlink" Target="https://static1.squarespace.com/static/513f79f9e4b05ce7b70e9673/t/526a2589e4b01768fee91a6a/1382688137983/the-missing-piece.pdf" TargetMode="External"/><Relationship Id="rId2" Type="http://schemas.openxmlformats.org/officeDocument/2006/relationships/styles" Target="styles.xml"/><Relationship Id="rId16" Type="http://schemas.openxmlformats.org/officeDocument/2006/relationships/hyperlink" Target="http://challengingbehavior.fmhi.usf.edu/do/resources/documents/tool_fam_routine_guide_early_ele.pdf" TargetMode="External"/><Relationship Id="rId20" Type="http://schemas.openxmlformats.org/officeDocument/2006/relationships/hyperlink" Target="mailto:subscribe-the_right_stuff@listserv.unc.edu" TargetMode="External"/><Relationship Id="rId1" Type="http://schemas.openxmlformats.org/officeDocument/2006/relationships/numbering" Target="numbering.xml"/><Relationship Id="rId6" Type="http://schemas.openxmlformats.org/officeDocument/2006/relationships/hyperlink" Target="https://imhdivtenets.org/"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challengingbehavior.fmhi.usf.edu/do/resources/documents/tool_fam_routine_guide_infants.pdf" TargetMode="External"/><Relationship Id="rId23" Type="http://schemas.openxmlformats.org/officeDocument/2006/relationships/theme" Target="theme/theme1.xml"/><Relationship Id="rId10" Type="http://schemas.openxmlformats.org/officeDocument/2006/relationships/hyperlink" Target="http://challengingbehavior.fmhi.usf.edu/communities/make_n_take/make_n_take_home.html" TargetMode="External"/><Relationship Id="rId19" Type="http://schemas.openxmlformats.org/officeDocument/2006/relationships/hyperlink" Target="http://fpg.unc.edu/presentations/vels-institut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hildtrends.org/wp-content/uploads/2014/08/2014-37CombinedMeasuresApproachandTablepdf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1230</Words>
  <Characters>7011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2016-10-03T20:05:00Z</cp:lastPrinted>
  <dcterms:created xsi:type="dcterms:W3CDTF">2018-02-03T21:37:00Z</dcterms:created>
  <dcterms:modified xsi:type="dcterms:W3CDTF">2018-02-03T21:37:00Z</dcterms:modified>
</cp:coreProperties>
</file>